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湖北省建材行业协会秘书处2021年</w:t>
      </w: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部门预算公开信息</w:t>
      </w: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p>
    <w:p>
      <w:pPr>
        <w:widowControl/>
        <w:shd w:val="clear" w:color="auto" w:fill="FFFFFF"/>
        <w:spacing w:line="560" w:lineRule="exact"/>
        <w:ind w:left="900" w:right="900"/>
        <w:jc w:val="center"/>
        <w:outlineLvl w:val="1"/>
        <w:rPr>
          <w:rFonts w:ascii="Times New Roman" w:hAnsi="Times New Roman" w:eastAsia="仿宋" w:cs="Times New Roman"/>
          <w:b/>
          <w:kern w:val="0"/>
          <w:sz w:val="32"/>
          <w:szCs w:val="32"/>
        </w:rPr>
      </w:pPr>
      <w:r>
        <w:rPr>
          <w:rFonts w:ascii="Times New Roman" w:hAnsi="Times New Roman" w:eastAsia="仿宋" w:cs="Times New Roman"/>
          <w:b/>
          <w:kern w:val="0"/>
          <w:sz w:val="32"/>
          <w:szCs w:val="32"/>
        </w:rPr>
        <w:t>目   录</w:t>
      </w:r>
    </w:p>
    <w:p>
      <w:pPr>
        <w:pStyle w:val="6"/>
        <w:spacing w:before="0" w:beforeAutospacing="0" w:after="0" w:afterAutospacing="0"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　</w:t>
      </w:r>
    </w:p>
    <w:p>
      <w:pPr>
        <w:pStyle w:val="6"/>
        <w:spacing w:before="0" w:beforeAutospacing="0" w:after="0" w:afterAutospacing="0" w:line="560" w:lineRule="exact"/>
        <w:ind w:firstLine="643" w:firstLineChars="200"/>
        <w:rPr>
          <w:rFonts w:ascii="Times New Roman" w:hAnsi="Times New Roman" w:eastAsia="黑体" w:cs="Times New Roman"/>
          <w:kern w:val="2"/>
          <w:sz w:val="32"/>
          <w:szCs w:val="32"/>
        </w:rPr>
      </w:pPr>
      <w:r>
        <w:rPr>
          <w:rFonts w:ascii="Times New Roman" w:hAnsi="Times New Roman" w:eastAsia="黑体" w:cs="Times New Roman"/>
          <w:b/>
          <w:bCs/>
          <w:kern w:val="2"/>
          <w:sz w:val="32"/>
          <w:szCs w:val="32"/>
        </w:rPr>
        <w:t>第一部分</w:t>
      </w:r>
      <w:r>
        <w:rPr>
          <w:rFonts w:hint="eastAsia" w:ascii="Times New Roman" w:hAnsi="Times New Roman" w:eastAsia="黑体" w:cs="Times New Roman"/>
          <w:b/>
          <w:bCs/>
          <w:kern w:val="2"/>
          <w:sz w:val="32"/>
          <w:szCs w:val="32"/>
        </w:rPr>
        <w:t xml:space="preserve"> </w:t>
      </w:r>
      <w:r>
        <w:rPr>
          <w:rFonts w:ascii="Times New Roman" w:hAnsi="Times New Roman" w:eastAsia="黑体" w:cs="Times New Roman"/>
          <w:b/>
          <w:bCs/>
          <w:kern w:val="2"/>
          <w:sz w:val="32"/>
          <w:szCs w:val="32"/>
        </w:rPr>
        <w:t xml:space="preserve"> </w:t>
      </w:r>
      <w:r>
        <w:rPr>
          <w:rFonts w:hint="eastAsia" w:ascii="Times New Roman" w:hAnsi="Times New Roman" w:eastAsia="黑体" w:cs="Times New Roman"/>
          <w:b/>
          <w:bCs/>
          <w:kern w:val="2"/>
          <w:sz w:val="32"/>
          <w:szCs w:val="32"/>
        </w:rPr>
        <w:t>单位</w:t>
      </w:r>
      <w:r>
        <w:rPr>
          <w:rFonts w:ascii="Times New Roman" w:hAnsi="Times New Roman" w:eastAsia="黑体" w:cs="Times New Roman"/>
          <w:b/>
          <w:bCs/>
          <w:kern w:val="2"/>
          <w:sz w:val="32"/>
          <w:szCs w:val="32"/>
        </w:rPr>
        <w:t>职责及机构设置情况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一、主要职能</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二、单位机构设置</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第二部分</w:t>
      </w:r>
      <w:r>
        <w:rPr>
          <w:rFonts w:hint="eastAsia" w:ascii="Times New Roman" w:hAnsi="Times New Roman" w:eastAsia="黑体" w:cs="Times New Roman"/>
          <w:b/>
          <w:bCs/>
          <w:kern w:val="2"/>
          <w:sz w:val="32"/>
          <w:szCs w:val="32"/>
        </w:rPr>
        <w:t xml:space="preserve">  </w:t>
      </w:r>
      <w:r>
        <w:rPr>
          <w:rFonts w:ascii="Times New Roman" w:hAnsi="Times New Roman" w:eastAsia="黑体" w:cs="Times New Roman"/>
          <w:b/>
          <w:bCs/>
          <w:kern w:val="2"/>
          <w:sz w:val="32"/>
          <w:szCs w:val="32"/>
        </w:rPr>
        <w:t>2021年预算安排情况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一、预算收支情况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二、预算收支增减变化情况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三、“三公”经费情况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四、机关运行经费安排情况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五、政府采购预算安排情况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六、国有资产占用情况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七、重点项目预算绩效目标情况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八、政府性基金预算情况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九、财政专项支出预算情况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十、专项转移支付分市县情况</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第三部分    名词解释</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w:t>
      </w:r>
      <w:r>
        <w:rPr>
          <w:rFonts w:hint="eastAsia" w:ascii="Times New Roman" w:hAnsi="Times New Roman" w:eastAsia="黑体" w:cs="Times New Roman"/>
          <w:b/>
          <w:bCs/>
          <w:kern w:val="2"/>
          <w:sz w:val="32"/>
          <w:szCs w:val="32"/>
        </w:rPr>
        <w:t>四</w:t>
      </w:r>
      <w:r>
        <w:rPr>
          <w:rFonts w:ascii="Times New Roman" w:hAnsi="Times New Roman" w:eastAsia="黑体" w:cs="Times New Roman"/>
          <w:b/>
          <w:bCs/>
          <w:kern w:val="2"/>
          <w:sz w:val="32"/>
          <w:szCs w:val="32"/>
        </w:rPr>
        <w:t>部分  2021年预算公开表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一、2021年收支预算总表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二、2021年收入预算总表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三、2021年支出预算总表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四、2021年财政拨款收支预算总表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五、2021年一般公共预算支出表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六、2021年一般公共预算基本支出表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七、2021年政府性基金预算支出表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八、2021年财政拨款“三公”经费支出表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九、2021年财政专项支出预算表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十、2021年专项转移支付分市县表</w:t>
      </w:r>
    </w:p>
    <w:p>
      <w:pPr>
        <w:spacing w:line="560" w:lineRule="exact"/>
        <w:rPr>
          <w:rFonts w:ascii="Times New Roman" w:hAnsi="Times New Roman" w:eastAsia="仿宋" w:cs="Times New Roman"/>
          <w:sz w:val="32"/>
          <w:szCs w:val="32"/>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pacing w:before="0" w:beforeAutospacing="0" w:after="0" w:afterAutospacing="0" w:line="560" w:lineRule="exact"/>
        <w:rPr>
          <w:rFonts w:ascii="Times New Roman" w:hAnsi="Times New Roman" w:eastAsia="黑体" w:cs="Times New Roman"/>
          <w:kern w:val="2"/>
          <w:sz w:val="32"/>
          <w:szCs w:val="32"/>
        </w:rPr>
      </w:pPr>
    </w:p>
    <w:p>
      <w:pPr>
        <w:pStyle w:val="6"/>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第一部</w:t>
      </w:r>
      <w:bookmarkStart w:id="0" w:name="_GoBack"/>
      <w:bookmarkEnd w:id="0"/>
      <w:r>
        <w:rPr>
          <w:rFonts w:ascii="Times New Roman" w:hAnsi="Times New Roman" w:eastAsia="方正小标宋简体" w:cs="Times New Roman"/>
          <w:b/>
          <w:sz w:val="44"/>
          <w:szCs w:val="44"/>
        </w:rPr>
        <w:t xml:space="preserve">分   </w:t>
      </w:r>
      <w:r>
        <w:rPr>
          <w:rFonts w:hint="eastAsia" w:ascii="Times New Roman" w:hAnsi="Times New Roman" w:eastAsia="方正小标宋简体" w:cs="Times New Roman"/>
          <w:b/>
          <w:sz w:val="44"/>
          <w:szCs w:val="44"/>
        </w:rPr>
        <w:t>单位</w:t>
      </w:r>
      <w:r>
        <w:rPr>
          <w:rFonts w:ascii="Times New Roman" w:hAnsi="Times New Roman" w:eastAsia="方正小标宋简体" w:cs="Times New Roman"/>
          <w:b/>
          <w:sz w:val="44"/>
          <w:szCs w:val="44"/>
        </w:rPr>
        <w:t>职责及机构设置情况</w:t>
      </w:r>
    </w:p>
    <w:p>
      <w:pPr>
        <w:pStyle w:val="6"/>
        <w:spacing w:before="0" w:beforeAutospacing="0" w:after="0" w:afterAutospacing="0" w:line="560" w:lineRule="exact"/>
        <w:ind w:firstLine="640" w:firstLineChars="200"/>
        <w:rPr>
          <w:rFonts w:ascii="Times New Roman" w:hAnsi="Times New Roman" w:eastAsia="黑体" w:cs="Times New Roman"/>
          <w:kern w:val="2"/>
          <w:sz w:val="32"/>
          <w:szCs w:val="32"/>
        </w:rPr>
      </w:pPr>
    </w:p>
    <w:p>
      <w:pPr>
        <w:pStyle w:val="6"/>
        <w:spacing w:before="0" w:beforeAutospacing="0" w:after="0" w:afterAutospacing="0" w:line="560" w:lineRule="exact"/>
        <w:ind w:firstLine="640" w:firstLineChars="200"/>
        <w:rPr>
          <w:rFonts w:ascii="Times New Roman" w:hAnsi="Times New Roman" w:eastAsia="仿宋" w:cs="Times New Roman"/>
          <w:b/>
          <w:color w:val="333333"/>
          <w:sz w:val="32"/>
          <w:szCs w:val="32"/>
        </w:rPr>
      </w:pPr>
      <w:r>
        <w:rPr>
          <w:rFonts w:ascii="Times New Roman" w:hAnsi="Times New Roman" w:eastAsia="黑体" w:cs="Times New Roman"/>
          <w:kern w:val="2"/>
          <w:sz w:val="32"/>
          <w:szCs w:val="32"/>
        </w:rPr>
        <w:t>一、</w:t>
      </w:r>
      <w:r>
        <w:rPr>
          <w:rFonts w:hint="eastAsia" w:ascii="Times New Roman" w:hAnsi="Times New Roman" w:eastAsia="黑体" w:cs="Times New Roman"/>
          <w:kern w:val="2"/>
          <w:sz w:val="32"/>
          <w:szCs w:val="32"/>
        </w:rPr>
        <w:t>单位</w:t>
      </w:r>
      <w:r>
        <w:rPr>
          <w:rFonts w:ascii="Times New Roman" w:hAnsi="Times New Roman" w:eastAsia="黑体" w:cs="Times New Roman"/>
          <w:kern w:val="2"/>
          <w:sz w:val="32"/>
          <w:szCs w:val="32"/>
        </w:rPr>
        <w:t>主要职责</w:t>
      </w:r>
    </w:p>
    <w:p>
      <w:pPr>
        <w:pStyle w:val="6"/>
        <w:shd w:val="clear" w:color="auto" w:fill="FFFFFF"/>
        <w:spacing w:before="0" w:beforeAutospacing="0" w:after="0" w:afterAutospacing="0" w:line="560"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加强调查研究，掌握行业发展动态</w:t>
      </w:r>
      <w:r>
        <w:rPr>
          <w:rFonts w:hint="default" w:ascii="Times New Roman" w:hAnsi="Times New Roman" w:eastAsia="仿宋_GB2312" w:cs="Times New Roman"/>
          <w:kern w:val="2"/>
          <w:sz w:val="32"/>
          <w:szCs w:val="32"/>
        </w:rPr>
        <w:t>；</w:t>
      </w:r>
    </w:p>
    <w:p>
      <w:pPr>
        <w:pStyle w:val="6"/>
        <w:shd w:val="clear" w:color="auto" w:fill="FFFFFF"/>
        <w:spacing w:before="0" w:beforeAutospacing="0" w:after="0" w:afterAutospacing="0" w:line="560"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反映企业诉求，切实为企业服务</w:t>
      </w:r>
      <w:r>
        <w:rPr>
          <w:rFonts w:hint="default" w:ascii="Times New Roman" w:hAnsi="Times New Roman" w:eastAsia="仿宋_GB2312" w:cs="Times New Roman"/>
          <w:kern w:val="2"/>
          <w:sz w:val="32"/>
          <w:szCs w:val="32"/>
        </w:rPr>
        <w:t>；</w:t>
      </w:r>
    </w:p>
    <w:p>
      <w:pPr>
        <w:pStyle w:val="6"/>
        <w:shd w:val="clear" w:color="auto" w:fill="FFFFFF"/>
        <w:spacing w:before="0" w:beforeAutospacing="0" w:after="0" w:afterAutospacing="0" w:line="560"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参与制定行业规划，提出行业发展的政策建议，促进行业健康发展</w:t>
      </w:r>
      <w:r>
        <w:rPr>
          <w:rFonts w:hint="default" w:ascii="Times New Roman" w:hAnsi="Times New Roman" w:eastAsia="仿宋_GB2312" w:cs="Times New Roman"/>
          <w:kern w:val="2"/>
          <w:sz w:val="32"/>
          <w:szCs w:val="32"/>
        </w:rPr>
        <w:t>；</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承担省政府及有关部门委托的工作。</w:t>
      </w:r>
    </w:p>
    <w:p>
      <w:pPr>
        <w:pStyle w:val="6"/>
        <w:shd w:val="clear" w:color="auto" w:fill="FFFFFF"/>
        <w:spacing w:before="0" w:beforeAutospacing="0" w:after="0" w:afterAutospacing="0" w:line="56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 xml:space="preserve"> 二、机构设置情况</w:t>
      </w:r>
    </w:p>
    <w:p>
      <w:pPr>
        <w:pStyle w:val="6"/>
        <w:shd w:val="clear" w:color="auto" w:fill="FFFFFF"/>
        <w:spacing w:before="0" w:beforeAutospacing="0" w:after="0" w:afterAutospacing="0" w:line="560" w:lineRule="exact"/>
        <w:ind w:firstLine="800" w:firstLineChars="25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湖北省建材行业协会秘书处共设2个内设机构：</w:t>
      </w:r>
    </w:p>
    <w:p>
      <w:pPr>
        <w:pStyle w:val="6"/>
        <w:shd w:val="clear" w:color="auto" w:fill="FFFFFF"/>
        <w:tabs>
          <w:tab w:val="left" w:pos="6228"/>
        </w:tabs>
        <w:spacing w:before="0" w:beforeAutospacing="0" w:after="0" w:afterAutospacing="0" w:line="560" w:lineRule="exact"/>
        <w:ind w:firstLine="800" w:firstLineChars="25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1.办公室(财务处)</w:t>
      </w:r>
      <w:r>
        <w:rPr>
          <w:rFonts w:ascii="Times New Roman" w:hAnsi="Times New Roman" w:eastAsia="仿宋_GB2312" w:cs="Times New Roman"/>
          <w:kern w:val="2"/>
          <w:sz w:val="32"/>
          <w:szCs w:val="32"/>
        </w:rPr>
        <w:tab/>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（1）负责秘书处日常工作的组织协调和督察督办；综合协调秘书处日常工作；</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（2）负责秘书处文秘、重要会务、文印、信访、综治、档案、机要、保密、政务公开等工作；</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（3）组织拟订和完善机关内部管理规章制度；</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（4）负责秘书处财务管理工作，编报部门预决算并负责预算执行；拟定财务管理、会计核算规章制度；负责秘书处财务和行政经费管理。</w:t>
      </w:r>
    </w:p>
    <w:p>
      <w:pPr>
        <w:pStyle w:val="6"/>
        <w:shd w:val="clear" w:color="auto" w:fill="FFFFFF"/>
        <w:spacing w:before="0" w:beforeAutospacing="0" w:after="0" w:afterAutospacing="0" w:line="560" w:lineRule="exact"/>
        <w:ind w:firstLine="800" w:firstLineChars="25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2.综合处</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负责</w:t>
      </w:r>
      <w:r>
        <w:rPr>
          <w:rFonts w:hint="default" w:ascii="Times New Roman" w:hAnsi="Times New Roman" w:eastAsia="仿宋_GB2312" w:cs="Times New Roman"/>
          <w:kern w:val="2"/>
          <w:sz w:val="32"/>
          <w:szCs w:val="32"/>
        </w:rPr>
        <w:t>秘书处</w:t>
      </w:r>
      <w:r>
        <w:rPr>
          <w:rFonts w:hint="eastAsia" w:ascii="Times New Roman" w:hAnsi="Times New Roman" w:eastAsia="仿宋_GB2312" w:cs="Times New Roman"/>
          <w:kern w:val="2"/>
          <w:sz w:val="32"/>
          <w:szCs w:val="32"/>
        </w:rPr>
        <w:t>的干部人事、劳动工资管理等工作</w:t>
      </w:r>
      <w:r>
        <w:rPr>
          <w:rFonts w:hint="default" w:ascii="Times New Roman" w:hAnsi="Times New Roman" w:eastAsia="仿宋_GB2312" w:cs="Times New Roman"/>
          <w:kern w:val="2"/>
          <w:sz w:val="32"/>
          <w:szCs w:val="32"/>
        </w:rPr>
        <w:t>；</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（2）承担重要文件和重要综合文稿的起草工作；</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（3）参与并配合业务主管单位组织的行业性或综合性政策调研活动；</w:t>
      </w:r>
    </w:p>
    <w:p>
      <w:pPr>
        <w:pStyle w:val="6"/>
        <w:shd w:val="clear" w:color="auto" w:fill="FFFFFF"/>
        <w:spacing w:before="0" w:beforeAutospacing="0" w:after="0" w:afterAutospacing="0" w:line="56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（4）承担秘书处档案管理工作；</w:t>
      </w:r>
    </w:p>
    <w:p>
      <w:pPr>
        <w:pStyle w:val="6"/>
        <w:shd w:val="clear" w:color="auto" w:fill="FFFFFF"/>
        <w:spacing w:before="0" w:beforeAutospacing="0" w:after="0" w:afterAutospacing="0" w:line="56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（5）担秘书处安全保卫等工作。</w:t>
      </w:r>
    </w:p>
    <w:p>
      <w:pPr>
        <w:pStyle w:val="6"/>
        <w:spacing w:before="0" w:beforeAutospacing="0" w:after="0" w:afterAutospacing="0" w:line="560" w:lineRule="exact"/>
        <w:rPr>
          <w:rFonts w:ascii="Times New Roman" w:hAnsi="Times New Roman" w:eastAsia="黑体" w:cs="Times New Roman"/>
          <w:b/>
          <w:bCs/>
          <w:color w:val="000000"/>
          <w:sz w:val="32"/>
          <w:szCs w:val="32"/>
        </w:rPr>
      </w:pP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第二部分 2021年预算安排情况</w:t>
      </w:r>
    </w:p>
    <w:p>
      <w:pPr>
        <w:pStyle w:val="6"/>
        <w:shd w:val="clear" w:color="auto" w:fill="FFFFFF"/>
        <w:spacing w:before="0" w:beforeAutospacing="0" w:after="0" w:afterAutospacing="0" w:line="560" w:lineRule="exact"/>
        <w:ind w:firstLine="793" w:firstLineChars="248"/>
        <w:rPr>
          <w:rFonts w:ascii="Times New Roman" w:hAnsi="Times New Roman" w:eastAsia="黑体" w:cs="Times New Roman"/>
          <w:color w:val="333333"/>
          <w:sz w:val="32"/>
          <w:szCs w:val="32"/>
        </w:rPr>
      </w:pPr>
    </w:p>
    <w:p>
      <w:pPr>
        <w:pStyle w:val="6"/>
        <w:shd w:val="clear" w:color="auto" w:fill="FFFFFF"/>
        <w:spacing w:before="0" w:beforeAutospacing="0" w:after="0" w:afterAutospacing="0" w:line="560" w:lineRule="exact"/>
        <w:ind w:firstLine="793" w:firstLineChars="248"/>
        <w:rPr>
          <w:rFonts w:hint="eastAsia" w:ascii="Times New Roman" w:hAnsi="Times New Roman" w:eastAsia="黑体" w:cs="Times New Roman"/>
          <w:color w:val="333333"/>
          <w:sz w:val="32"/>
          <w:szCs w:val="32"/>
        </w:rPr>
      </w:pPr>
      <w:r>
        <w:rPr>
          <w:rFonts w:ascii="Times New Roman" w:hAnsi="Times New Roman" w:eastAsia="黑体" w:cs="Times New Roman"/>
          <w:color w:val="333333"/>
          <w:sz w:val="32"/>
          <w:szCs w:val="32"/>
        </w:rPr>
        <w:t>一、预算收支情况</w:t>
      </w:r>
    </w:p>
    <w:p>
      <w:pPr>
        <w:pStyle w:val="6"/>
        <w:shd w:val="clear" w:color="auto" w:fill="FFFFFF"/>
        <w:spacing w:before="0" w:beforeAutospacing="0" w:after="0" w:afterAutospacing="0" w:line="560" w:lineRule="exact"/>
        <w:ind w:firstLine="797" w:firstLineChars="248"/>
        <w:rPr>
          <w:rFonts w:ascii="Times New Roman" w:hAnsi="Times New Roman" w:eastAsia="黑体" w:cs="Times New Roman"/>
          <w:color w:val="333333"/>
          <w:sz w:val="32"/>
          <w:szCs w:val="32"/>
        </w:rPr>
      </w:pPr>
      <w:r>
        <w:rPr>
          <w:rFonts w:ascii="Times New Roman" w:hAnsi="Times New Roman" w:eastAsia="楷体" w:cs="Times New Roman"/>
          <w:b/>
          <w:kern w:val="2"/>
          <w:sz w:val="32"/>
          <w:szCs w:val="32"/>
        </w:rPr>
        <w:t>（一）2021年度收入预算情况</w:t>
      </w:r>
    </w:p>
    <w:p>
      <w:pPr>
        <w:pStyle w:val="6"/>
        <w:shd w:val="clear" w:color="auto" w:fill="FFFFFF"/>
        <w:spacing w:before="0" w:beforeAutospacing="0" w:after="0" w:afterAutospacing="0" w:line="560" w:lineRule="exact"/>
        <w:ind w:firstLine="645"/>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2021年度秘书处预算总收入</w:t>
      </w:r>
      <w:r>
        <w:rPr>
          <w:rFonts w:hint="default" w:ascii="Times New Roman" w:hAnsi="Times New Roman" w:eastAsia="仿宋_GB2312" w:cs="Times New Roman"/>
          <w:color w:val="000000"/>
          <w:sz w:val="32"/>
          <w:szCs w:val="32"/>
        </w:rPr>
        <w:t>59</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万元,其中：一般公共预算拨款</w:t>
      </w:r>
      <w:r>
        <w:rPr>
          <w:rFonts w:hint="default" w:ascii="Times New Roman" w:hAnsi="Times New Roman" w:eastAsia="仿宋_GB2312" w:cs="Times New Roman"/>
          <w:color w:val="000000"/>
          <w:sz w:val="32"/>
          <w:szCs w:val="32"/>
        </w:rPr>
        <w:t>59</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万元，无其他收入</w:t>
      </w:r>
      <w:r>
        <w:rPr>
          <w:rFonts w:hint="eastAsia" w:ascii="Times New Roman" w:hAnsi="Times New Roman" w:eastAsia="仿宋_GB2312" w:cs="Times New Roman"/>
          <w:color w:val="000000"/>
          <w:sz w:val="32"/>
          <w:szCs w:val="32"/>
        </w:rPr>
        <w:t>。</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 w:cs="Times New Roman"/>
          <w:b/>
          <w:bCs/>
          <w:color w:val="000000"/>
          <w:sz w:val="32"/>
          <w:szCs w:val="32"/>
        </w:rPr>
        <w:t>（二）2021年支出预算情况说明</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2021年秘书处本年支出</w:t>
      </w:r>
      <w:r>
        <w:rPr>
          <w:rFonts w:hint="default" w:ascii="Times New Roman" w:hAnsi="Times New Roman" w:eastAsia="仿宋_GB2312" w:cs="Times New Roman"/>
          <w:color w:val="000000"/>
          <w:sz w:val="32"/>
          <w:szCs w:val="32"/>
        </w:rPr>
        <w:t>59</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rPr>
        <w:t>59</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万元；无项目支出。</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基本支出</w:t>
      </w:r>
      <w:r>
        <w:rPr>
          <w:rFonts w:hint="default" w:ascii="Times New Roman" w:hAnsi="Times New Roman" w:eastAsia="仿宋_GB2312" w:cs="Times New Roman"/>
          <w:color w:val="000000"/>
          <w:sz w:val="32"/>
          <w:szCs w:val="32"/>
        </w:rPr>
        <w:t>59</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，包括：</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（1）社会保障和就业支出</w:t>
      </w:r>
      <w:r>
        <w:rPr>
          <w:rFonts w:hint="default" w:ascii="Times New Roman" w:hAnsi="Times New Roman" w:eastAsia="仿宋_GB2312" w:cs="Times New Roman"/>
          <w:color w:val="000000"/>
          <w:sz w:val="32"/>
          <w:szCs w:val="32"/>
        </w:rPr>
        <w:t>3.8</w:t>
      </w:r>
      <w:r>
        <w:rPr>
          <w:rFonts w:ascii="Times New Roman" w:hAnsi="Times New Roman" w:eastAsia="仿宋_GB2312" w:cs="Times New Roman"/>
          <w:color w:val="000000"/>
          <w:sz w:val="32"/>
          <w:szCs w:val="32"/>
        </w:rPr>
        <w:t>万元，均</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事业单位基本养老保险缴费。</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）卫生健康支出</w:t>
      </w:r>
      <w:r>
        <w:rPr>
          <w:rFonts w:hint="default" w:ascii="Times New Roman" w:hAnsi="Times New Roman" w:eastAsia="仿宋_GB2312" w:cs="Times New Roman"/>
          <w:color w:val="000000"/>
          <w:sz w:val="32"/>
          <w:szCs w:val="32"/>
        </w:rPr>
        <w:t>0.56</w:t>
      </w:r>
      <w:r>
        <w:rPr>
          <w:rFonts w:ascii="Times New Roman" w:hAnsi="Times New Roman" w:eastAsia="仿宋_GB2312" w:cs="Times New Roman"/>
          <w:color w:val="000000"/>
          <w:sz w:val="32"/>
          <w:szCs w:val="32"/>
        </w:rPr>
        <w:t>万元，均为医疗保障支出。</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）资源勘探电力信息等事务支出预算</w:t>
      </w:r>
      <w:r>
        <w:rPr>
          <w:rFonts w:hint="default" w:ascii="Times New Roman" w:hAnsi="Times New Roman" w:eastAsia="仿宋_GB2312" w:cs="Times New Roman"/>
          <w:color w:val="000000"/>
          <w:sz w:val="32"/>
          <w:szCs w:val="32"/>
        </w:rPr>
        <w:t>54.75</w:t>
      </w:r>
      <w:r>
        <w:rPr>
          <w:rFonts w:ascii="Times New Roman" w:hAnsi="Times New Roman" w:eastAsia="仿宋_GB2312" w:cs="Times New Roman"/>
          <w:color w:val="000000"/>
          <w:sz w:val="32"/>
          <w:szCs w:val="32"/>
        </w:rPr>
        <w:t>万元。</w:t>
      </w:r>
    </w:p>
    <w:p>
      <w:pPr>
        <w:widowControl/>
        <w:shd w:val="clear" w:color="auto" w:fill="FFFFFF"/>
        <w:spacing w:line="560" w:lineRule="exact"/>
        <w:ind w:firstLine="480"/>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二、预算收支增减变化情况</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（一）预算收入增减变动情况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2021年度</w:t>
      </w:r>
      <w:r>
        <w:rPr>
          <w:rFonts w:hint="eastAsia" w:ascii="Times New Roman" w:hAnsi="Times New Roman" w:eastAsia="仿宋_GB2312" w:cs="Times New Roman"/>
          <w:color w:val="000000"/>
          <w:kern w:val="0"/>
          <w:sz w:val="32"/>
          <w:szCs w:val="32"/>
          <w:lang w:eastAsia="zh-CN"/>
        </w:rPr>
        <w:t>秘书处</w:t>
      </w:r>
      <w:r>
        <w:rPr>
          <w:rFonts w:ascii="Times New Roman" w:hAnsi="Times New Roman" w:eastAsia="仿宋_GB2312" w:cs="Times New Roman"/>
          <w:color w:val="000000"/>
          <w:kern w:val="0"/>
          <w:sz w:val="32"/>
          <w:szCs w:val="32"/>
        </w:rPr>
        <w:t>预算收入比上年增加</w:t>
      </w:r>
      <w:r>
        <w:rPr>
          <w:rFonts w:hint="default" w:ascii="Times New Roman" w:hAnsi="Times New Roman" w:eastAsia="仿宋_GB2312" w:cs="Times New Roman"/>
          <w:color w:val="000000"/>
          <w:kern w:val="0"/>
          <w:sz w:val="32"/>
          <w:szCs w:val="32"/>
        </w:rPr>
        <w:t>1.04</w:t>
      </w:r>
      <w:r>
        <w:rPr>
          <w:rFonts w:ascii="Times New Roman" w:hAnsi="Times New Roman" w:eastAsia="仿宋_GB2312" w:cs="Times New Roman"/>
          <w:color w:val="000000"/>
          <w:kern w:val="0"/>
          <w:sz w:val="32"/>
          <w:szCs w:val="32"/>
        </w:rPr>
        <w:t>万元,其中：一般公共预算财政拨款收入比上年增加</w:t>
      </w:r>
      <w:r>
        <w:rPr>
          <w:rFonts w:hint="eastAsia"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rPr>
        <w:t>.04</w:t>
      </w:r>
      <w:r>
        <w:rPr>
          <w:rFonts w:ascii="Times New Roman" w:hAnsi="Times New Roman" w:eastAsia="仿宋_GB2312" w:cs="Times New Roman"/>
          <w:color w:val="000000"/>
          <w:kern w:val="0"/>
          <w:sz w:val="32"/>
          <w:szCs w:val="32"/>
        </w:rPr>
        <w:t>万元，收入增加主要原因是根据统一安排，2021年度人员经费略有增加。</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（二）预算支出增减变动情况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2021年预算支出比上年增加</w:t>
      </w:r>
      <w:r>
        <w:rPr>
          <w:rFonts w:hint="default" w:ascii="Times New Roman" w:hAnsi="Times New Roman" w:eastAsia="仿宋_GB2312" w:cs="Times New Roman"/>
          <w:color w:val="000000"/>
          <w:kern w:val="0"/>
          <w:sz w:val="32"/>
          <w:szCs w:val="32"/>
        </w:rPr>
        <w:t>1.04</w:t>
      </w:r>
      <w:r>
        <w:rPr>
          <w:rFonts w:ascii="Times New Roman" w:hAnsi="Times New Roman" w:eastAsia="仿宋_GB2312" w:cs="Times New Roman"/>
          <w:color w:val="000000"/>
          <w:kern w:val="0"/>
          <w:sz w:val="32"/>
          <w:szCs w:val="32"/>
        </w:rPr>
        <w:t>万元，均为基本支出,支出增加的主要原因的人员工资经费支出略有增加</w:t>
      </w:r>
      <w:r>
        <w:rPr>
          <w:rFonts w:hint="eastAsia" w:ascii="Times New Roman" w:hAnsi="Times New Roman" w:eastAsia="仿宋_GB2312" w:cs="Times New Roman"/>
          <w:color w:val="000000"/>
          <w:kern w:val="0"/>
          <w:sz w:val="32"/>
          <w:szCs w:val="32"/>
        </w:rPr>
        <w:t>。</w:t>
      </w:r>
    </w:p>
    <w:p>
      <w:pPr>
        <w:widowControl/>
        <w:shd w:val="clear" w:color="auto" w:fill="FFFFFF"/>
        <w:spacing w:line="560" w:lineRule="exact"/>
        <w:ind w:firstLine="480"/>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三、“三公”经费情况</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kern w:val="0"/>
          <w:sz w:val="32"/>
          <w:szCs w:val="32"/>
        </w:rPr>
        <w:t>（一）财政拨款“三</w:t>
      </w:r>
      <w:r>
        <w:rPr>
          <w:rFonts w:ascii="Times New Roman" w:hAnsi="Times New Roman" w:eastAsia="楷体" w:cs="Times New Roman"/>
          <w:b/>
          <w:color w:val="000000"/>
          <w:kern w:val="0"/>
          <w:sz w:val="32"/>
          <w:szCs w:val="32"/>
        </w:rPr>
        <w:t>公”经费情况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default" w:ascii="Times New Roman" w:hAnsi="Times New Roman" w:eastAsia="仿宋_GB2312" w:cs="Times New Roman"/>
          <w:color w:val="000000"/>
          <w:kern w:val="0"/>
          <w:sz w:val="32"/>
          <w:szCs w:val="32"/>
        </w:rPr>
        <w:t>秘书处无</w:t>
      </w:r>
      <w:r>
        <w:rPr>
          <w:rFonts w:ascii="Times New Roman" w:hAnsi="Times New Roman" w:eastAsia="仿宋_GB2312" w:cs="Times New Roman"/>
          <w:color w:val="000000"/>
          <w:kern w:val="0"/>
          <w:sz w:val="32"/>
          <w:szCs w:val="32"/>
        </w:rPr>
        <w:t>财政拨款“三公”经费。</w:t>
      </w:r>
    </w:p>
    <w:p>
      <w:pPr>
        <w:widowControl/>
        <w:shd w:val="clear" w:color="auto" w:fill="FFFFFF"/>
        <w:spacing w:line="560" w:lineRule="exact"/>
        <w:ind w:firstLine="627"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四、机关运行经费安排情况</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（一）机关运行经费总体情况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湖北省建材行业协会秘书处2021年运行经费5.75元，其中：办公费2.95万元；其他交通费1.6万元；差旅费0.1万元；工会会费0.8万元；福利费0.3万元。</w:t>
      </w:r>
    </w:p>
    <w:p>
      <w:pPr>
        <w:widowControl/>
        <w:shd w:val="clear" w:color="auto" w:fill="FFFFFF"/>
        <w:spacing w:line="560" w:lineRule="exact"/>
        <w:ind w:firstLine="630" w:firstLineChars="196"/>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（二）机关运行经费增减变化情况</w:t>
      </w:r>
    </w:p>
    <w:p>
      <w:pPr>
        <w:widowControl/>
        <w:shd w:val="clear" w:color="auto" w:fill="FFFFFF"/>
        <w:spacing w:line="560" w:lineRule="exact"/>
        <w:ind w:firstLine="784" w:firstLineChars="245"/>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湖北省建材行业协会秘书处2</w:t>
      </w:r>
      <w:r>
        <w:rPr>
          <w:rFonts w:ascii="Times New Roman" w:hAnsi="Times New Roman" w:eastAsia="仿宋_GB2312" w:cs="Times New Roman"/>
          <w:color w:val="000000"/>
          <w:kern w:val="0"/>
          <w:sz w:val="32"/>
          <w:szCs w:val="32"/>
        </w:rPr>
        <w:t>021年运行经费5.75万元，同比上升10.15%；</w:t>
      </w:r>
      <w:r>
        <w:rPr>
          <w:rFonts w:hint="eastAsia" w:ascii="Times New Roman" w:hAnsi="Times New Roman" w:eastAsia="仿宋_GB2312" w:cs="Times New Roman"/>
          <w:color w:val="000000"/>
          <w:kern w:val="0"/>
          <w:sz w:val="32"/>
          <w:szCs w:val="32"/>
        </w:rPr>
        <w:t>主要原因是</w:t>
      </w:r>
      <w:r>
        <w:rPr>
          <w:rFonts w:hint="default" w:ascii="Times New Roman" w:hAnsi="Times New Roman" w:eastAsia="仿宋_GB2312" w:cs="Times New Roman"/>
          <w:color w:val="000000"/>
          <w:kern w:val="0"/>
          <w:sz w:val="32"/>
          <w:szCs w:val="32"/>
        </w:rPr>
        <w:t>财政专网费用增加，</w:t>
      </w:r>
      <w:r>
        <w:rPr>
          <w:rFonts w:hint="eastAsia" w:ascii="Times New Roman" w:hAnsi="Times New Roman" w:eastAsia="仿宋_GB2312" w:cs="Times New Roman"/>
          <w:color w:val="000000"/>
          <w:kern w:val="0"/>
          <w:sz w:val="32"/>
          <w:szCs w:val="32"/>
        </w:rPr>
        <w:t>需要新增机关运行费用，其中</w:t>
      </w:r>
      <w:r>
        <w:rPr>
          <w:rFonts w:ascii="Times New Roman" w:hAnsi="Times New Roman" w:eastAsia="仿宋_GB2312" w:cs="Times New Roman"/>
          <w:color w:val="000000"/>
          <w:kern w:val="0"/>
          <w:sz w:val="32"/>
          <w:szCs w:val="32"/>
        </w:rPr>
        <w:t>：办公费2.95</w:t>
      </w:r>
      <w:r>
        <w:rPr>
          <w:rFonts w:hint="eastAsia" w:ascii="Times New Roman" w:hAnsi="Times New Roman" w:eastAsia="仿宋_GB2312" w:cs="Times New Roman"/>
          <w:color w:val="000000"/>
          <w:kern w:val="0"/>
          <w:sz w:val="32"/>
          <w:szCs w:val="32"/>
        </w:rPr>
        <w:t>万元，同比上升</w:t>
      </w:r>
      <w:r>
        <w:rPr>
          <w:rFonts w:hint="default" w:ascii="Times New Roman" w:hAnsi="Times New Roman" w:eastAsia="仿宋_GB2312" w:cs="Times New Roman"/>
          <w:color w:val="000000"/>
          <w:kern w:val="0"/>
          <w:sz w:val="32"/>
          <w:szCs w:val="32"/>
        </w:rPr>
        <w:t>41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其他交通费1.6</w:t>
      </w:r>
      <w:r>
        <w:rPr>
          <w:rFonts w:hint="eastAsia" w:ascii="Times New Roman" w:hAnsi="Times New Roman" w:eastAsia="仿宋_GB2312" w:cs="Times New Roman"/>
          <w:color w:val="000000"/>
          <w:kern w:val="0"/>
          <w:sz w:val="32"/>
          <w:szCs w:val="32"/>
        </w:rPr>
        <w:t>万元，同比</w:t>
      </w:r>
      <w:r>
        <w:rPr>
          <w:rFonts w:hint="default" w:ascii="Times New Roman" w:hAnsi="Times New Roman" w:eastAsia="仿宋_GB2312" w:cs="Times New Roman"/>
          <w:color w:val="000000"/>
          <w:kern w:val="0"/>
          <w:sz w:val="32"/>
          <w:szCs w:val="32"/>
        </w:rPr>
        <w:t>下降10.6</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差旅费0.1万元,</w:t>
      </w:r>
      <w:r>
        <w:rPr>
          <w:rFonts w:hint="eastAsia" w:ascii="Times New Roman" w:hAnsi="Times New Roman" w:eastAsia="仿宋_GB2312" w:cs="Times New Roman"/>
          <w:color w:val="000000"/>
          <w:kern w:val="0"/>
          <w:sz w:val="32"/>
          <w:szCs w:val="32"/>
        </w:rPr>
        <w:t>同比下降50%</w:t>
      </w:r>
      <w:r>
        <w:rPr>
          <w:rFonts w:ascii="Times New Roman" w:hAnsi="Times New Roman" w:eastAsia="仿宋_GB2312" w:cs="Times New Roman"/>
          <w:color w:val="000000"/>
          <w:kern w:val="0"/>
          <w:sz w:val="32"/>
          <w:szCs w:val="32"/>
        </w:rPr>
        <w:t>；工会会费0.8万元，</w:t>
      </w:r>
      <w:r>
        <w:rPr>
          <w:rFonts w:hint="eastAsia" w:ascii="Times New Roman" w:hAnsi="Times New Roman" w:eastAsia="仿宋_GB2312" w:cs="Times New Roman"/>
          <w:color w:val="000000"/>
          <w:kern w:val="0"/>
          <w:sz w:val="32"/>
          <w:szCs w:val="32"/>
        </w:rPr>
        <w:t>同比</w:t>
      </w:r>
      <w:r>
        <w:rPr>
          <w:rFonts w:hint="default" w:ascii="Times New Roman" w:hAnsi="Times New Roman" w:eastAsia="仿宋_GB2312" w:cs="Times New Roman"/>
          <w:color w:val="000000"/>
          <w:kern w:val="0"/>
          <w:sz w:val="32"/>
          <w:szCs w:val="32"/>
        </w:rPr>
        <w:t>上升33</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；福利费0.3万元</w:t>
      </w:r>
      <w:r>
        <w:rPr>
          <w:rFonts w:hint="eastAsia" w:ascii="Times New Roman" w:hAnsi="Times New Roman" w:eastAsia="仿宋_GB2312" w:cs="Times New Roman"/>
          <w:color w:val="000000"/>
          <w:kern w:val="0"/>
          <w:sz w:val="32"/>
          <w:szCs w:val="32"/>
        </w:rPr>
        <w:t>，同比下降</w:t>
      </w:r>
      <w:r>
        <w:rPr>
          <w:rFonts w:hint="default" w:ascii="Times New Roman" w:hAnsi="Times New Roman" w:eastAsia="仿宋_GB2312" w:cs="Times New Roman"/>
          <w:color w:val="000000"/>
          <w:kern w:val="0"/>
          <w:sz w:val="32"/>
          <w:szCs w:val="32"/>
        </w:rPr>
        <w:t>33</w:t>
      </w:r>
      <w:r>
        <w:rPr>
          <w:rFonts w:hint="eastAsia" w:ascii="Times New Roman" w:hAnsi="Times New Roman" w:eastAsia="仿宋_GB2312" w:cs="Times New Roman"/>
          <w:color w:val="000000"/>
          <w:kern w:val="0"/>
          <w:sz w:val="32"/>
          <w:szCs w:val="32"/>
        </w:rPr>
        <w:t>%。</w:t>
      </w:r>
    </w:p>
    <w:p>
      <w:pPr>
        <w:widowControl/>
        <w:shd w:val="clear" w:color="auto" w:fill="FFFFFF"/>
        <w:spacing w:line="560" w:lineRule="exact"/>
        <w:ind w:firstLine="627"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五、政府采购预算安排情况</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湖北省建材行业协会秘书处2021年无政府采购预算</w:t>
      </w:r>
    </w:p>
    <w:p>
      <w:pPr>
        <w:widowControl/>
        <w:shd w:val="clear" w:color="auto" w:fill="FFFFFF"/>
        <w:spacing w:line="560" w:lineRule="exact"/>
        <w:ind w:firstLine="630" w:firstLineChars="196"/>
        <w:jc w:val="left"/>
        <w:rPr>
          <w:rFonts w:ascii="Times New Roman" w:hAnsi="Times New Roman" w:eastAsia="仿宋" w:cs="Times New Roman"/>
          <w:color w:val="000000"/>
          <w:kern w:val="0"/>
          <w:sz w:val="32"/>
          <w:szCs w:val="32"/>
        </w:rPr>
      </w:pPr>
      <w:r>
        <w:rPr>
          <w:rFonts w:ascii="Times New Roman" w:hAnsi="Times New Roman" w:eastAsia="黑体" w:cs="Times New Roman"/>
          <w:b/>
          <w:color w:val="333333"/>
          <w:kern w:val="0"/>
          <w:sz w:val="32"/>
          <w:szCs w:val="32"/>
        </w:rPr>
        <w:t>六、国有资产占用情况</w:t>
      </w:r>
    </w:p>
    <w:p>
      <w:pPr>
        <w:widowControl/>
        <w:shd w:val="clear" w:color="auto" w:fill="FFFFFF"/>
        <w:spacing w:line="560" w:lineRule="exact"/>
        <w:ind w:firstLine="627" w:firstLineChars="196"/>
        <w:jc w:val="left"/>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按照部门预算统计口径，秘书处使用房屋建筑面积合计</w:t>
      </w:r>
      <w:r>
        <w:rPr>
          <w:rFonts w:hint="eastAsia" w:ascii="仿宋_GB2312" w:hAnsi="仿宋_GB2312" w:eastAsia="仿宋_GB2312" w:cs="仿宋_GB2312"/>
          <w:color w:val="000000"/>
          <w:kern w:val="0"/>
          <w:sz w:val="32"/>
          <w:szCs w:val="32"/>
          <w:lang w:val="en-US" w:eastAsia="zh-CN"/>
        </w:rPr>
        <w:t>28</w:t>
      </w:r>
      <w:r>
        <w:rPr>
          <w:rFonts w:ascii="Times New Roman" w:hAnsi="Times New Roman" w:eastAsia="仿宋_GB2312" w:cs="Times New Roman"/>
          <w:color w:val="000000"/>
          <w:kern w:val="0"/>
          <w:sz w:val="32"/>
          <w:szCs w:val="32"/>
        </w:rPr>
        <w:t>平方米，其中：办公用房</w:t>
      </w:r>
      <w:r>
        <w:rPr>
          <w:rFonts w:hint="eastAsia" w:ascii="仿宋_GB2312" w:hAnsi="仿宋_GB2312" w:eastAsia="仿宋_GB2312" w:cs="仿宋_GB2312"/>
          <w:color w:val="000000"/>
          <w:kern w:val="0"/>
          <w:sz w:val="32"/>
          <w:szCs w:val="32"/>
          <w:lang w:val="en-US" w:eastAsia="zh-CN"/>
        </w:rPr>
        <w:t>28</w:t>
      </w:r>
      <w:r>
        <w:rPr>
          <w:rFonts w:ascii="Times New Roman" w:hAnsi="Times New Roman" w:eastAsia="仿宋_GB2312" w:cs="Times New Roman"/>
          <w:color w:val="000000"/>
          <w:kern w:val="0"/>
          <w:sz w:val="32"/>
          <w:szCs w:val="32"/>
        </w:rPr>
        <w:t>平方米，秘书处享</w:t>
      </w:r>
      <w:r>
        <w:rPr>
          <w:rFonts w:hint="eastAsia" w:ascii="Times New Roman" w:hAnsi="Times New Roman" w:eastAsia="仿宋_GB2312" w:cs="Times New Roman"/>
          <w:color w:val="000000"/>
          <w:kern w:val="0"/>
          <w:sz w:val="32"/>
          <w:szCs w:val="32"/>
          <w:lang w:eastAsia="zh-CN"/>
        </w:rPr>
        <w:t>有</w:t>
      </w:r>
      <w:r>
        <w:rPr>
          <w:rFonts w:ascii="Times New Roman" w:hAnsi="Times New Roman" w:eastAsia="仿宋_GB2312" w:cs="Times New Roman"/>
          <w:color w:val="000000"/>
          <w:kern w:val="0"/>
          <w:sz w:val="32"/>
          <w:szCs w:val="32"/>
        </w:rPr>
        <w:t>使用权，产权归属为省行管局。</w:t>
      </w:r>
    </w:p>
    <w:p>
      <w:pPr>
        <w:widowControl/>
        <w:shd w:val="clear" w:color="auto" w:fill="FFFFFF"/>
        <w:spacing w:line="560" w:lineRule="exact"/>
        <w:ind w:firstLine="630" w:firstLineChars="196"/>
        <w:jc w:val="left"/>
        <w:rPr>
          <w:rFonts w:ascii="Times New Roman" w:hAnsi="Times New Roman" w:eastAsia="黑体" w:cs="Times New Roman"/>
          <w:b/>
          <w:color w:val="333333"/>
          <w:kern w:val="0"/>
          <w:sz w:val="32"/>
          <w:szCs w:val="32"/>
        </w:rPr>
      </w:pPr>
      <w:r>
        <w:rPr>
          <w:rFonts w:ascii="Times New Roman" w:hAnsi="Times New Roman" w:eastAsia="黑体" w:cs="Times New Roman"/>
          <w:b/>
          <w:color w:val="333333"/>
          <w:kern w:val="0"/>
          <w:sz w:val="32"/>
          <w:szCs w:val="32"/>
        </w:rPr>
        <w:t>七、重点项目预算绩效目标情况</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2021年秘书处无重点项目预算绩效目标。</w:t>
      </w:r>
    </w:p>
    <w:p>
      <w:pPr>
        <w:widowControl/>
        <w:shd w:val="clear" w:color="auto" w:fill="FFFFFF"/>
        <w:spacing w:line="560" w:lineRule="exact"/>
        <w:ind w:firstLine="630"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b/>
          <w:bCs/>
          <w:color w:val="000000"/>
          <w:kern w:val="0"/>
          <w:sz w:val="32"/>
          <w:szCs w:val="32"/>
        </w:rPr>
        <w:t>八、政府性基金预算支出情况</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2021年度秘书处无政府性基金支出。</w:t>
      </w:r>
    </w:p>
    <w:p>
      <w:pPr>
        <w:widowControl/>
        <w:shd w:val="clear" w:color="auto" w:fill="FFFFFF"/>
        <w:spacing w:line="560" w:lineRule="exact"/>
        <w:ind w:right="900" w:firstLine="643" w:firstLineChars="200"/>
        <w:outlineLvl w:val="1"/>
        <w:rPr>
          <w:rFonts w:ascii="黑体" w:hAnsi="黑体" w:eastAsia="黑体" w:cs="Times New Roman"/>
          <w:b/>
          <w:sz w:val="32"/>
          <w:szCs w:val="32"/>
        </w:rPr>
      </w:pPr>
      <w:r>
        <w:rPr>
          <w:rFonts w:hint="eastAsia" w:ascii="黑体" w:hAnsi="黑体" w:eastAsia="黑体" w:cs="Times New Roman"/>
          <w:b/>
          <w:sz w:val="32"/>
          <w:szCs w:val="32"/>
        </w:rPr>
        <w:t>九、财政专项支出预算情况</w:t>
      </w:r>
    </w:p>
    <w:p>
      <w:pPr>
        <w:widowControl/>
        <w:shd w:val="clear" w:color="auto" w:fill="FFFFFF"/>
        <w:spacing w:line="560" w:lineRule="exact"/>
        <w:ind w:right="90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2021年度秘书处无财政专项支出。</w:t>
      </w:r>
    </w:p>
    <w:p>
      <w:pPr>
        <w:widowControl/>
        <w:shd w:val="clear" w:color="auto" w:fill="FFFFFF"/>
        <w:spacing w:line="560" w:lineRule="exact"/>
        <w:ind w:firstLine="630" w:firstLineChars="196"/>
        <w:jc w:val="left"/>
        <w:rPr>
          <w:rFonts w:ascii="Times New Roman" w:hAnsi="Times New Roman" w:eastAsia="黑体" w:cs="Times New Roman"/>
          <w:b/>
          <w:bCs/>
          <w:color w:val="000000"/>
          <w:kern w:val="0"/>
          <w:sz w:val="32"/>
          <w:szCs w:val="32"/>
        </w:rPr>
      </w:pPr>
      <w:r>
        <w:rPr>
          <w:rFonts w:hint="eastAsia" w:ascii="Times New Roman" w:hAnsi="Times New Roman" w:eastAsia="黑体" w:cs="Times New Roman"/>
          <w:b/>
          <w:bCs/>
          <w:color w:val="000000"/>
          <w:kern w:val="0"/>
          <w:sz w:val="32"/>
          <w:szCs w:val="32"/>
        </w:rPr>
        <w:t>十</w:t>
      </w:r>
      <w:r>
        <w:rPr>
          <w:rFonts w:ascii="Times New Roman" w:hAnsi="Times New Roman" w:eastAsia="黑体" w:cs="Times New Roman"/>
          <w:b/>
          <w:bCs/>
          <w:color w:val="000000"/>
          <w:kern w:val="0"/>
          <w:sz w:val="32"/>
          <w:szCs w:val="32"/>
        </w:rPr>
        <w:t>、专项转移支付分市县情况说明</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2021年度秘书处无专项转移支付分市县情况。</w:t>
      </w:r>
    </w:p>
    <w:p>
      <w:pPr>
        <w:pStyle w:val="6"/>
        <w:spacing w:before="0" w:beforeAutospacing="0" w:after="0" w:afterAutospacing="0" w:line="560" w:lineRule="exact"/>
        <w:jc w:val="center"/>
        <w:rPr>
          <w:rFonts w:hint="eastAsia" w:ascii="仿宋_GB2312" w:hAnsi="仿宋_GB2312" w:eastAsia="仿宋_GB2312" w:cs="仿宋_GB2312"/>
          <w:b/>
          <w:sz w:val="44"/>
          <w:szCs w:val="44"/>
        </w:rPr>
      </w:pPr>
    </w:p>
    <w:p>
      <w:pPr>
        <w:pStyle w:val="6"/>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第</w:t>
      </w:r>
      <w:r>
        <w:rPr>
          <w:rFonts w:hint="eastAsia" w:ascii="Times New Roman" w:hAnsi="Times New Roman" w:eastAsia="方正小标宋简体" w:cs="Times New Roman"/>
          <w:b/>
          <w:sz w:val="44"/>
          <w:szCs w:val="44"/>
        </w:rPr>
        <w:t>三</w:t>
      </w:r>
      <w:r>
        <w:rPr>
          <w:rFonts w:ascii="Times New Roman" w:hAnsi="Times New Roman" w:eastAsia="方正小标宋简体" w:cs="Times New Roman"/>
          <w:b/>
          <w:sz w:val="44"/>
          <w:szCs w:val="44"/>
        </w:rPr>
        <w:t>部分  名词解释</w:t>
      </w:r>
    </w:p>
    <w:p>
      <w:pPr>
        <w:pStyle w:val="6"/>
        <w:spacing w:before="0" w:beforeAutospacing="0" w:after="0" w:afterAutospacing="0" w:line="560" w:lineRule="exact"/>
        <w:rPr>
          <w:rFonts w:ascii="Times New Roman" w:hAnsi="Times New Roman" w:eastAsia="方正小标宋简体" w:cs="Times New Roman"/>
          <w:b/>
          <w:sz w:val="44"/>
          <w:szCs w:val="44"/>
        </w:rPr>
      </w:pPr>
    </w:p>
    <w:p>
      <w:pPr>
        <w:widowControl/>
        <w:shd w:val="clear" w:color="auto" w:fill="FFFFFF"/>
        <w:spacing w:line="560" w:lineRule="exact"/>
        <w:ind w:firstLine="627" w:firstLineChars="196"/>
        <w:jc w:val="left"/>
        <w:rPr>
          <w:rFonts w:ascii="Times New Roman" w:hAnsi="Times New Roman" w:eastAsia="黑体" w:cs="Times New Roman"/>
          <w:color w:val="333333"/>
          <w:sz w:val="32"/>
          <w:szCs w:val="32"/>
        </w:rPr>
      </w:pPr>
      <w:r>
        <w:rPr>
          <w:rFonts w:ascii="Times New Roman" w:hAnsi="Times New Roman" w:eastAsia="黑体" w:cs="Times New Roman"/>
          <w:color w:val="000000"/>
          <w:sz w:val="32"/>
          <w:szCs w:val="32"/>
        </w:rPr>
        <w:t>一、收入科目</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一般公共预算拨款：指省级财政通过预算安排当年拨付的资金。</w:t>
      </w:r>
    </w:p>
    <w:p>
      <w:pPr>
        <w:widowControl/>
        <w:shd w:val="clear" w:color="auto" w:fill="FFFFFF"/>
        <w:spacing w:line="560" w:lineRule="exact"/>
        <w:ind w:firstLine="627" w:firstLineChars="196"/>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二、支出科目</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1、社会保障和就业支出（类）行政事业单位离退休（款）机关事业单位基本养老保险缴费支出（项）：反映机关事业单位实施养老保险制度由单位缴纳的基本养老保险费支出。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2、社会保障和就业支出（类）行政事业单位离退休（款）机关事业单位职定年金缴费支出（项）：反映机关事业单位实施养老保险制度由单位实际缴纳的职业年金支出。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3、资源勘探电力信息（类）工业和信息产业监管（款）行政运行（项）：反映行政单位（包括实施公务员管理的事业单位）的基本支出。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4、基本支出：指为保障机构正常运转、完成日常工作任务而发生的人员经费、公用经费。</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5、项目支出：指在基本支出之外为完成特定专项任务和事业发展目标而发生的支出。　　</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6、工资福利支出：反映单位开支的在职职工和编制外长期聘用人员的各类劳动报酬，以及为上述人员缴纳的各项社会保险费等。</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7、商品和服务支出：反映单位购买商品和服务的支出，不包括用于购置固定资产、战略性和应急性物资储备等资本性支出。</w:t>
      </w:r>
    </w:p>
    <w:p>
      <w:pPr>
        <w:widowControl/>
        <w:shd w:val="clear" w:color="auto" w:fill="FFFFFF"/>
        <w:spacing w:line="560" w:lineRule="exact"/>
        <w:ind w:firstLine="627" w:firstLineChars="196"/>
        <w:jc w:val="left"/>
        <w:rPr>
          <w:rStyle w:val="9"/>
          <w:rFonts w:ascii="Times New Roman" w:hAnsi="Times New Roman" w:eastAsia="仿宋_GB2312" w:cs="Times New Roman"/>
          <w:b w:val="0"/>
          <w:bCs w:val="0"/>
          <w:color w:val="000000"/>
          <w:sz w:val="32"/>
          <w:szCs w:val="32"/>
        </w:rPr>
      </w:pPr>
      <w:r>
        <w:rPr>
          <w:rFonts w:ascii="Times New Roman" w:hAnsi="Times New Roman" w:eastAsia="仿宋_GB2312" w:cs="Times New Roman"/>
          <w:color w:val="000000"/>
          <w:sz w:val="32"/>
          <w:szCs w:val="32"/>
        </w:rPr>
        <w:t>8、对个人和家庭的补助：反映政府用于对个人和家庭的补助支出。</w:t>
      </w:r>
    </w:p>
    <w:p>
      <w:pPr>
        <w:widowControl/>
        <w:shd w:val="clear" w:color="auto" w:fill="FFFFFF"/>
        <w:spacing w:before="240" w:after="240" w:line="560" w:lineRule="exact"/>
        <w:ind w:right="600"/>
        <w:jc w:val="center"/>
        <w:rPr>
          <w:rFonts w:hint="eastAsia"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hint="eastAsia"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hint="eastAsia"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第</w:t>
      </w:r>
      <w:r>
        <w:rPr>
          <w:rFonts w:hint="eastAsia" w:ascii="Times New Roman" w:hAnsi="Times New Roman" w:eastAsia="方正小标宋简体" w:cs="Times New Roman"/>
          <w:b/>
          <w:kern w:val="0"/>
          <w:sz w:val="44"/>
          <w:szCs w:val="44"/>
        </w:rPr>
        <w:t>四</w:t>
      </w:r>
      <w:r>
        <w:rPr>
          <w:rFonts w:ascii="Times New Roman" w:hAnsi="Times New Roman" w:eastAsia="方正小标宋简体" w:cs="Times New Roman"/>
          <w:b/>
          <w:kern w:val="0"/>
          <w:sz w:val="44"/>
          <w:szCs w:val="44"/>
        </w:rPr>
        <w:t>部分  2021年预算公开表</w:t>
      </w:r>
    </w:p>
    <w:p>
      <w:pPr>
        <w:adjustRightInd w:val="0"/>
        <w:snapToGrid w:val="0"/>
        <w:spacing w:line="560" w:lineRule="exact"/>
        <w:ind w:left="1424" w:leftChars="145" w:hanging="1120" w:hangingChars="350"/>
        <w:jc w:val="left"/>
        <w:rPr>
          <w:rFonts w:ascii="Times New Roman" w:hAnsi="Times New Roman" w:eastAsia="仿宋" w:cs="Times New Roman"/>
          <w:sz w:val="32"/>
          <w:szCs w:val="32"/>
        </w:rPr>
      </w:pPr>
      <w:r>
        <w:rPr>
          <w:rFonts w:ascii="Times New Roman" w:hAnsi="Times New Roman" w:eastAsia="仿宋" w:cs="Times New Roman"/>
          <w:sz w:val="32"/>
          <w:szCs w:val="32"/>
        </w:rPr>
        <w:t>　</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一、2021年收支预算总表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二、2021年收入预算总表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kern w:val="0"/>
          <w:sz w:val="32"/>
          <w:szCs w:val="32"/>
        </w:rPr>
        <w:t>2021年支出预算总表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四、2021年财政拨款收支预算总表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五、2021年一般公共预算支出表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六、2021年一般公共预算基本支出表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七、2021年政府性基金预算支出表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八、2021年财政拨款“三公”经费支出表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九、2021年财政专项支出预算表</w:t>
      </w:r>
    </w:p>
    <w:p>
      <w:pPr>
        <w:widowControl/>
        <w:shd w:val="clear" w:color="auto" w:fill="FFFFFF"/>
        <w:spacing w:line="56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十、2021年专项转移支付分市县表</w:t>
      </w:r>
    </w:p>
    <w:p>
      <w:pPr>
        <w:widowControl/>
        <w:spacing w:line="560" w:lineRule="exact"/>
        <w:jc w:val="left"/>
        <w:rPr>
          <w:rFonts w:hint="eastAsia" w:ascii="仿宋_GB2312" w:hAnsi="仿宋_GB2312" w:eastAsia="仿宋_GB2312" w:cs="仿宋_GB2312"/>
          <w:color w:val="000000"/>
          <w:kern w:val="0"/>
          <w:sz w:val="32"/>
          <w:szCs w:val="32"/>
        </w:rPr>
      </w:pPr>
    </w:p>
    <w:p>
      <w:pPr>
        <w:widowControl/>
        <w:shd w:val="clear" w:color="auto" w:fill="FFFFFF"/>
        <w:spacing w:before="240" w:after="240" w:line="560" w:lineRule="exact"/>
        <w:ind w:right="600" w:firstLine="3150"/>
        <w:jc w:val="left"/>
        <w:rPr>
          <w:rFonts w:ascii="Times New Roman" w:hAnsi="Times New Roman" w:eastAsia="仿宋_GB2312" w:cs="Times New Roman"/>
          <w:color w:val="000000"/>
          <w:kern w:val="0"/>
          <w:sz w:val="32"/>
          <w:szCs w:val="32"/>
        </w:rPr>
      </w:pPr>
    </w:p>
    <w:p>
      <w:pPr>
        <w:widowControl/>
        <w:shd w:val="clear" w:color="auto" w:fill="FFFFFF"/>
        <w:spacing w:before="240" w:after="240" w:line="560" w:lineRule="exact"/>
        <w:ind w:right="600" w:firstLine="315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湖北省建材行业协会秘书处</w:t>
      </w:r>
    </w:p>
    <w:p>
      <w:pPr>
        <w:widowControl/>
        <w:shd w:val="clear" w:color="auto" w:fill="FFFFFF"/>
        <w:spacing w:before="240" w:line="560" w:lineRule="exact"/>
        <w:ind w:right="920" w:firstLine="345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2021年3月8日</w:t>
      </w:r>
    </w:p>
    <w:p>
      <w:pPr>
        <w:widowControl/>
        <w:spacing w:line="560" w:lineRule="exac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w:t>
      </w:r>
    </w:p>
    <w:p>
      <w:pPr>
        <w:spacing w:line="560" w:lineRule="exact"/>
        <w:rPr>
          <w:rFonts w:ascii="Times New Roman" w:hAnsi="Times New Roman" w:eastAsia="仿宋" w:cs="Times New Roman"/>
          <w:sz w:val="32"/>
          <w:szCs w:val="32"/>
        </w:rPr>
      </w:pPr>
    </w:p>
    <w:sectPr>
      <w:footerReference r:id="rId3" w:type="default"/>
      <w:footerReference r:id="rId4" w:type="even"/>
      <w:pgSz w:w="11907" w:h="16839"/>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00000000000000000"/>
    <w:charset w:val="86"/>
    <w:family w:val="script"/>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MT Extra">
    <w:panose1 w:val="05050102010205020202"/>
    <w:charset w:val="00"/>
    <w:family w:val="auto"/>
    <w:pitch w:val="default"/>
    <w:sig w:usb0="80000000" w:usb1="00000000" w:usb2="00000000" w:usb3="00000000" w:csb0="00000000" w:csb1="00000000"/>
  </w:font>
  <w:font w:name="MS UI Gothic">
    <w:panose1 w:val="020B0600070205080204"/>
    <w:charset w:val="80"/>
    <w:family w:val="auto"/>
    <w:pitch w:val="default"/>
    <w:sig w:usb0="A00002BF" w:usb1="68C7FCFB" w:usb2="00000010" w:usb3="00000000" w:csb0="4002009F" w:csb1="DFD7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429286"/>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23 -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1226217"/>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24 -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C3"/>
    <w:rsid w:val="000005F8"/>
    <w:rsid w:val="00015A9C"/>
    <w:rsid w:val="000256D6"/>
    <w:rsid w:val="000303E3"/>
    <w:rsid w:val="00045524"/>
    <w:rsid w:val="00053A9E"/>
    <w:rsid w:val="00066A09"/>
    <w:rsid w:val="00085740"/>
    <w:rsid w:val="000A06D9"/>
    <w:rsid w:val="000B118D"/>
    <w:rsid w:val="000B186D"/>
    <w:rsid w:val="000E3E1A"/>
    <w:rsid w:val="000E6574"/>
    <w:rsid w:val="000E79E2"/>
    <w:rsid w:val="000F44A3"/>
    <w:rsid w:val="001129F7"/>
    <w:rsid w:val="00142EA4"/>
    <w:rsid w:val="0014461E"/>
    <w:rsid w:val="001476A8"/>
    <w:rsid w:val="00150D84"/>
    <w:rsid w:val="001706E7"/>
    <w:rsid w:val="00195524"/>
    <w:rsid w:val="001A485C"/>
    <w:rsid w:val="001A59DE"/>
    <w:rsid w:val="001B1E0E"/>
    <w:rsid w:val="001D09F0"/>
    <w:rsid w:val="001D4C81"/>
    <w:rsid w:val="001D70BB"/>
    <w:rsid w:val="001E7E94"/>
    <w:rsid w:val="001F26C3"/>
    <w:rsid w:val="00210A15"/>
    <w:rsid w:val="0021637E"/>
    <w:rsid w:val="00227E03"/>
    <w:rsid w:val="00255685"/>
    <w:rsid w:val="00256A8D"/>
    <w:rsid w:val="00275ACE"/>
    <w:rsid w:val="00275EAD"/>
    <w:rsid w:val="00287D42"/>
    <w:rsid w:val="002A7D70"/>
    <w:rsid w:val="002B0F0E"/>
    <w:rsid w:val="002B209D"/>
    <w:rsid w:val="002B6BFF"/>
    <w:rsid w:val="002C1125"/>
    <w:rsid w:val="002C4020"/>
    <w:rsid w:val="002C4528"/>
    <w:rsid w:val="002C58BC"/>
    <w:rsid w:val="002E7F07"/>
    <w:rsid w:val="002F2B0F"/>
    <w:rsid w:val="00310C0A"/>
    <w:rsid w:val="00321C3A"/>
    <w:rsid w:val="00332083"/>
    <w:rsid w:val="003439F2"/>
    <w:rsid w:val="0034469A"/>
    <w:rsid w:val="0034490D"/>
    <w:rsid w:val="003613AE"/>
    <w:rsid w:val="00366A61"/>
    <w:rsid w:val="00374554"/>
    <w:rsid w:val="00375703"/>
    <w:rsid w:val="00382F48"/>
    <w:rsid w:val="0038314D"/>
    <w:rsid w:val="00387E27"/>
    <w:rsid w:val="00391F98"/>
    <w:rsid w:val="00397F35"/>
    <w:rsid w:val="003C1661"/>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47A69"/>
    <w:rsid w:val="00453CC8"/>
    <w:rsid w:val="0047085F"/>
    <w:rsid w:val="00476189"/>
    <w:rsid w:val="004809E7"/>
    <w:rsid w:val="0049217A"/>
    <w:rsid w:val="004A16EE"/>
    <w:rsid w:val="004B5231"/>
    <w:rsid w:val="004C545D"/>
    <w:rsid w:val="004C64D2"/>
    <w:rsid w:val="004D7B40"/>
    <w:rsid w:val="004E20A6"/>
    <w:rsid w:val="00502447"/>
    <w:rsid w:val="0050556B"/>
    <w:rsid w:val="00512255"/>
    <w:rsid w:val="0051401F"/>
    <w:rsid w:val="00520DA5"/>
    <w:rsid w:val="005219E1"/>
    <w:rsid w:val="00536C33"/>
    <w:rsid w:val="005370AC"/>
    <w:rsid w:val="00550684"/>
    <w:rsid w:val="00585427"/>
    <w:rsid w:val="00585D01"/>
    <w:rsid w:val="005A2F89"/>
    <w:rsid w:val="005A61C1"/>
    <w:rsid w:val="005B0452"/>
    <w:rsid w:val="005B755F"/>
    <w:rsid w:val="005C4A9A"/>
    <w:rsid w:val="005D190D"/>
    <w:rsid w:val="005E29E1"/>
    <w:rsid w:val="005E54E6"/>
    <w:rsid w:val="00603A0D"/>
    <w:rsid w:val="00616ACF"/>
    <w:rsid w:val="006224AF"/>
    <w:rsid w:val="00623A2B"/>
    <w:rsid w:val="0062460D"/>
    <w:rsid w:val="00634420"/>
    <w:rsid w:val="00656293"/>
    <w:rsid w:val="006626D0"/>
    <w:rsid w:val="0066725E"/>
    <w:rsid w:val="00671718"/>
    <w:rsid w:val="006770F3"/>
    <w:rsid w:val="0068023E"/>
    <w:rsid w:val="006901E5"/>
    <w:rsid w:val="00696B8E"/>
    <w:rsid w:val="006A38EA"/>
    <w:rsid w:val="006A5E5D"/>
    <w:rsid w:val="006D0163"/>
    <w:rsid w:val="006D3CAA"/>
    <w:rsid w:val="006D6E07"/>
    <w:rsid w:val="006E4031"/>
    <w:rsid w:val="006F54B5"/>
    <w:rsid w:val="007241EE"/>
    <w:rsid w:val="00724896"/>
    <w:rsid w:val="00725858"/>
    <w:rsid w:val="007355AF"/>
    <w:rsid w:val="00737C8A"/>
    <w:rsid w:val="00786938"/>
    <w:rsid w:val="00790E3C"/>
    <w:rsid w:val="007A028A"/>
    <w:rsid w:val="007A7430"/>
    <w:rsid w:val="007D7E7D"/>
    <w:rsid w:val="007E3C6F"/>
    <w:rsid w:val="007E7AE8"/>
    <w:rsid w:val="007F6CEB"/>
    <w:rsid w:val="0080700D"/>
    <w:rsid w:val="00807668"/>
    <w:rsid w:val="008139BA"/>
    <w:rsid w:val="00815D05"/>
    <w:rsid w:val="0082736A"/>
    <w:rsid w:val="00837AB5"/>
    <w:rsid w:val="00857E05"/>
    <w:rsid w:val="00861CB6"/>
    <w:rsid w:val="008622D4"/>
    <w:rsid w:val="0087351E"/>
    <w:rsid w:val="00876B2B"/>
    <w:rsid w:val="008A3884"/>
    <w:rsid w:val="008A7448"/>
    <w:rsid w:val="008B2340"/>
    <w:rsid w:val="008B3AC3"/>
    <w:rsid w:val="008B4081"/>
    <w:rsid w:val="008B6B8E"/>
    <w:rsid w:val="008C5112"/>
    <w:rsid w:val="008C76C0"/>
    <w:rsid w:val="008D5D7C"/>
    <w:rsid w:val="008E628A"/>
    <w:rsid w:val="008E6E9D"/>
    <w:rsid w:val="008F1E19"/>
    <w:rsid w:val="008F4B09"/>
    <w:rsid w:val="008F5303"/>
    <w:rsid w:val="00927F2D"/>
    <w:rsid w:val="0095549E"/>
    <w:rsid w:val="00967679"/>
    <w:rsid w:val="00977205"/>
    <w:rsid w:val="00996578"/>
    <w:rsid w:val="009A1FA8"/>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A22B2"/>
    <w:rsid w:val="00AB3FDD"/>
    <w:rsid w:val="00AB4053"/>
    <w:rsid w:val="00AC34F6"/>
    <w:rsid w:val="00AC4B4E"/>
    <w:rsid w:val="00AD285A"/>
    <w:rsid w:val="00AD2DD1"/>
    <w:rsid w:val="00AE5316"/>
    <w:rsid w:val="00AE7EAA"/>
    <w:rsid w:val="00B0732B"/>
    <w:rsid w:val="00B10099"/>
    <w:rsid w:val="00B10CC6"/>
    <w:rsid w:val="00B16901"/>
    <w:rsid w:val="00B33FCB"/>
    <w:rsid w:val="00B46FBC"/>
    <w:rsid w:val="00B575FA"/>
    <w:rsid w:val="00B66014"/>
    <w:rsid w:val="00B744EE"/>
    <w:rsid w:val="00B84F45"/>
    <w:rsid w:val="00B951B7"/>
    <w:rsid w:val="00BC2002"/>
    <w:rsid w:val="00BC4D0A"/>
    <w:rsid w:val="00BC4D52"/>
    <w:rsid w:val="00BC7597"/>
    <w:rsid w:val="00BE66A0"/>
    <w:rsid w:val="00C11C15"/>
    <w:rsid w:val="00C148A9"/>
    <w:rsid w:val="00C302BB"/>
    <w:rsid w:val="00C30667"/>
    <w:rsid w:val="00C401CC"/>
    <w:rsid w:val="00C43603"/>
    <w:rsid w:val="00C461C3"/>
    <w:rsid w:val="00C5676F"/>
    <w:rsid w:val="00C83676"/>
    <w:rsid w:val="00C931EB"/>
    <w:rsid w:val="00CA5F09"/>
    <w:rsid w:val="00CA6074"/>
    <w:rsid w:val="00CC30CF"/>
    <w:rsid w:val="00CE282D"/>
    <w:rsid w:val="00CE6A4D"/>
    <w:rsid w:val="00CF119F"/>
    <w:rsid w:val="00CF7158"/>
    <w:rsid w:val="00D2639D"/>
    <w:rsid w:val="00D32559"/>
    <w:rsid w:val="00D41A21"/>
    <w:rsid w:val="00D57947"/>
    <w:rsid w:val="00D60405"/>
    <w:rsid w:val="00D75D63"/>
    <w:rsid w:val="00D97939"/>
    <w:rsid w:val="00DD4FF1"/>
    <w:rsid w:val="00DF059F"/>
    <w:rsid w:val="00E002E6"/>
    <w:rsid w:val="00E174E5"/>
    <w:rsid w:val="00E36412"/>
    <w:rsid w:val="00E37380"/>
    <w:rsid w:val="00E45AD4"/>
    <w:rsid w:val="00E545A0"/>
    <w:rsid w:val="00E70DFB"/>
    <w:rsid w:val="00E816A8"/>
    <w:rsid w:val="00E82DA0"/>
    <w:rsid w:val="00EA2192"/>
    <w:rsid w:val="00EA595D"/>
    <w:rsid w:val="00EC55EF"/>
    <w:rsid w:val="00F05F91"/>
    <w:rsid w:val="00F13BD1"/>
    <w:rsid w:val="00F25D00"/>
    <w:rsid w:val="00F437AF"/>
    <w:rsid w:val="00F50F94"/>
    <w:rsid w:val="00F52DAB"/>
    <w:rsid w:val="00F74302"/>
    <w:rsid w:val="00F86470"/>
    <w:rsid w:val="00FA4CB4"/>
    <w:rsid w:val="00FA5745"/>
    <w:rsid w:val="00FA6324"/>
    <w:rsid w:val="00FB4CBE"/>
    <w:rsid w:val="00FB60E8"/>
    <w:rsid w:val="00FD54E2"/>
    <w:rsid w:val="00FE06B8"/>
    <w:rsid w:val="00FE1E8A"/>
    <w:rsid w:val="00FF63A0"/>
    <w:rsid w:val="0BE62B9C"/>
    <w:rsid w:val="0CC35462"/>
    <w:rsid w:val="15BF6476"/>
    <w:rsid w:val="19744AEE"/>
    <w:rsid w:val="221C1970"/>
    <w:rsid w:val="25A25C86"/>
    <w:rsid w:val="25D4424D"/>
    <w:rsid w:val="2AD452B5"/>
    <w:rsid w:val="300D6E48"/>
    <w:rsid w:val="30327A24"/>
    <w:rsid w:val="32797845"/>
    <w:rsid w:val="332E1360"/>
    <w:rsid w:val="39147799"/>
    <w:rsid w:val="3EF79FEF"/>
    <w:rsid w:val="435A1E18"/>
    <w:rsid w:val="45977F3F"/>
    <w:rsid w:val="4F3A0E71"/>
    <w:rsid w:val="4FC74A05"/>
    <w:rsid w:val="55A86804"/>
    <w:rsid w:val="57B34B6B"/>
    <w:rsid w:val="65743F85"/>
    <w:rsid w:val="71B80DEA"/>
    <w:rsid w:val="73960D2E"/>
    <w:rsid w:val="7CC94265"/>
    <w:rsid w:val="7F5B7870"/>
    <w:rsid w:val="8DF7B1F2"/>
    <w:rsid w:val="DDDEC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2"/>
    <w:qFormat/>
    <w:uiPriority w:val="9"/>
    <w:rPr>
      <w:rFonts w:ascii="宋体" w:hAnsi="宋体" w:eastAsia="宋体" w:cs="宋体"/>
      <w:b/>
      <w:bCs/>
      <w:kern w:val="0"/>
      <w:sz w:val="36"/>
      <w:szCs w:val="36"/>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List Paragraph"/>
    <w:basedOn w:val="1"/>
    <w:qFormat/>
    <w:uiPriority w:val="99"/>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1664</Words>
  <Characters>9490</Characters>
  <Lines>79</Lines>
  <Paragraphs>22</Paragraphs>
  <TotalTime>79</TotalTime>
  <ScaleCrop>false</ScaleCrop>
  <LinksUpToDate>false</LinksUpToDate>
  <CharactersWithSpaces>11132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2021-02-20T10:34:00Z</dcterms:created>
  <dc:creator>李劲松</dc:creator>
  <cp:lastModifiedBy>高辛辛</cp:lastModifiedBy>
  <cp:lastPrinted>2021-03-12T02:56:41Z</cp:lastPrinted>
  <dcterms:modified xsi:type="dcterms:W3CDTF">2021-03-12T03:13:19Z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