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88692">
      <w:pPr>
        <w:spacing w:line="600" w:lineRule="exact"/>
        <w:jc w:val="left"/>
        <w:rPr>
          <w:rFonts w:eastAsia="黑体"/>
          <w:sz w:val="32"/>
          <w:szCs w:val="32"/>
        </w:rPr>
      </w:pPr>
      <w:bookmarkStart w:id="0" w:name="_GoBack"/>
      <w:r>
        <w:rPr>
          <w:rFonts w:eastAsia="黑体"/>
          <w:sz w:val="32"/>
          <w:szCs w:val="32"/>
        </w:rPr>
        <w:t>附</w:t>
      </w:r>
      <w:r>
        <w:rPr>
          <w:rFonts w:hint="eastAsia" w:eastAsia="黑体"/>
          <w:sz w:val="32"/>
          <w:szCs w:val="32"/>
        </w:rPr>
        <w:t>件3</w:t>
      </w:r>
    </w:p>
    <w:p w14:paraId="262D533E">
      <w:pPr>
        <w:spacing w:line="600" w:lineRule="exact"/>
        <w:jc w:val="center"/>
        <w:outlineLvl w:val="1"/>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绿色供应链管理企业评价要求</w:t>
      </w:r>
    </w:p>
    <w:bookmarkEnd w:id="0"/>
    <w:p w14:paraId="7EB992B3">
      <w:pPr>
        <w:spacing w:line="600" w:lineRule="exact"/>
        <w:ind w:firstLine="640" w:firstLineChars="200"/>
        <w:rPr>
          <w:rFonts w:hint="eastAsia" w:ascii="黑体" w:hAnsi="黑体" w:eastAsia="黑体" w:cs="黑体"/>
          <w:bCs/>
          <w:sz w:val="32"/>
          <w:szCs w:val="32"/>
        </w:rPr>
      </w:pPr>
    </w:p>
    <w:p w14:paraId="1635B022">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一、总则</w:t>
      </w:r>
    </w:p>
    <w:p w14:paraId="50C53AF8">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（一）定义、目的及范围</w:t>
      </w:r>
    </w:p>
    <w:p w14:paraId="43C9D61B">
      <w:pPr>
        <w:spacing w:line="600" w:lineRule="exact"/>
        <w:ind w:firstLine="640" w:firstLineChars="200"/>
        <w:rPr>
          <w:rFonts w:ascii="仿宋_GB2312" w:eastAsia="仿宋_GB2312"/>
          <w:sz w:val="32"/>
          <w:szCs w:val="32"/>
        </w:rPr>
      </w:pPr>
      <w:r>
        <w:rPr>
          <w:rFonts w:eastAsia="仿宋_GB2312"/>
          <w:sz w:val="32"/>
          <w:szCs w:val="32"/>
        </w:rPr>
        <w:t>绿色供应链</w:t>
      </w:r>
      <w:r>
        <w:rPr>
          <w:rFonts w:hint="eastAsia" w:eastAsia="仿宋_GB2312"/>
          <w:sz w:val="32"/>
          <w:szCs w:val="32"/>
        </w:rPr>
        <w:t>管理企业是指</w:t>
      </w:r>
      <w:r>
        <w:rPr>
          <w:rFonts w:eastAsia="仿宋_GB2312"/>
          <w:sz w:val="32"/>
          <w:szCs w:val="32"/>
        </w:rPr>
        <w:t>将</w:t>
      </w:r>
      <w:r>
        <w:rPr>
          <w:rFonts w:hint="eastAsia" w:eastAsia="仿宋_GB2312"/>
          <w:sz w:val="32"/>
          <w:szCs w:val="32"/>
        </w:rPr>
        <w:t>绿色低碳发展</w:t>
      </w:r>
      <w:r>
        <w:rPr>
          <w:rFonts w:eastAsia="仿宋_GB2312"/>
          <w:sz w:val="32"/>
          <w:szCs w:val="32"/>
        </w:rPr>
        <w:t>理念贯穿于企业产品设计</w:t>
      </w:r>
      <w:r>
        <w:rPr>
          <w:rFonts w:hint="eastAsia" w:eastAsia="仿宋_GB2312"/>
          <w:sz w:val="32"/>
          <w:szCs w:val="32"/>
        </w:rPr>
        <w:t>、</w:t>
      </w:r>
      <w:r>
        <w:rPr>
          <w:rFonts w:eastAsia="仿宋_GB2312"/>
          <w:sz w:val="32"/>
          <w:szCs w:val="32"/>
        </w:rPr>
        <w:t>原材料采购、生产、运输、储存、销售、使用和报废处理</w:t>
      </w:r>
      <w:r>
        <w:rPr>
          <w:rFonts w:hint="eastAsia" w:eastAsia="仿宋_GB2312"/>
          <w:sz w:val="32"/>
          <w:szCs w:val="32"/>
        </w:rPr>
        <w:t>等</w:t>
      </w:r>
      <w:r>
        <w:rPr>
          <w:rFonts w:eastAsia="仿宋_GB2312"/>
          <w:sz w:val="32"/>
          <w:szCs w:val="32"/>
        </w:rPr>
        <w:t>全过程，</w:t>
      </w:r>
      <w:r>
        <w:rPr>
          <w:rFonts w:hint="eastAsia" w:eastAsia="仿宋_GB2312"/>
          <w:sz w:val="32"/>
          <w:szCs w:val="32"/>
        </w:rPr>
        <w:t>实现供应</w:t>
      </w:r>
      <w:r>
        <w:rPr>
          <w:rFonts w:eastAsia="仿宋_GB2312"/>
          <w:sz w:val="32"/>
          <w:szCs w:val="32"/>
        </w:rPr>
        <w:t>链</w:t>
      </w:r>
      <w:r>
        <w:rPr>
          <w:rFonts w:hint="eastAsia" w:eastAsia="仿宋_GB2312"/>
          <w:sz w:val="32"/>
          <w:szCs w:val="32"/>
        </w:rPr>
        <w:t>全链条绿色化水平协同提升的主导企业，是带动供应链上下游工厂实施绿色制造的关键。</w:t>
      </w:r>
    </w:p>
    <w:p w14:paraId="59379883">
      <w:pPr>
        <w:spacing w:line="600" w:lineRule="exact"/>
        <w:ind w:firstLine="640" w:firstLineChars="200"/>
        <w:rPr>
          <w:rFonts w:ascii="仿宋_GB2312" w:eastAsia="仿宋_GB2312"/>
          <w:sz w:val="32"/>
          <w:szCs w:val="32"/>
        </w:rPr>
      </w:pPr>
      <w:r>
        <w:rPr>
          <w:rFonts w:hint="eastAsia" w:ascii="仿宋_GB2312" w:eastAsia="仿宋_GB2312"/>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14:paraId="5B1E828F">
      <w:pPr>
        <w:spacing w:line="600" w:lineRule="exact"/>
        <w:ind w:firstLine="640" w:firstLineChars="200"/>
        <w:rPr>
          <w:rFonts w:ascii="仿宋_GB2312" w:eastAsia="仿宋_GB2312"/>
          <w:sz w:val="32"/>
          <w:szCs w:val="32"/>
        </w:rPr>
      </w:pPr>
      <w:r>
        <w:rPr>
          <w:rFonts w:hint="eastAsia" w:ascii="仿宋_GB2312" w:eastAsia="仿宋_GB2312"/>
          <w:sz w:val="32"/>
          <w:szCs w:val="32"/>
        </w:rPr>
        <w:t>绿色供应链管理范围：按照产品生命周期要求，对设计、采购、生产、物流、回收等业务流程进行管理，其中涉及供应商、制造企业、物流商、销售商、最终用户以及回收、拆解等企业的协作。</w:t>
      </w:r>
    </w:p>
    <w:p w14:paraId="33788276">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（二）基本要求</w:t>
      </w:r>
    </w:p>
    <w:p w14:paraId="684898D0">
      <w:pPr>
        <w:spacing w:line="600" w:lineRule="exact"/>
        <w:ind w:firstLine="640" w:firstLineChars="200"/>
        <w:rPr>
          <w:rFonts w:eastAsia="仿宋_GB2312"/>
          <w:sz w:val="32"/>
          <w:szCs w:val="32"/>
          <w:highlight w:val="yellow"/>
        </w:rPr>
      </w:pPr>
      <w:r>
        <w:rPr>
          <w:rFonts w:eastAsia="仿宋_GB2312"/>
          <w:sz w:val="32"/>
          <w:szCs w:val="32"/>
        </w:rPr>
        <w:t>1.是依法设立并具有独立法人资格或者视同法人的独立核算单位；</w:t>
      </w:r>
    </w:p>
    <w:p w14:paraId="50DE36C5">
      <w:pPr>
        <w:spacing w:line="600" w:lineRule="exact"/>
        <w:ind w:firstLine="640" w:firstLineChars="200"/>
        <w:rPr>
          <w:rFonts w:eastAsia="仿宋_GB2312"/>
          <w:sz w:val="32"/>
          <w:szCs w:val="32"/>
        </w:rPr>
      </w:pPr>
      <w:r>
        <w:rPr>
          <w:rFonts w:eastAsia="仿宋_GB2312"/>
          <w:sz w:val="32"/>
          <w:szCs w:val="32"/>
        </w:rPr>
        <w:t>2.具有较强的行业影响力；</w:t>
      </w:r>
    </w:p>
    <w:p w14:paraId="25F1829D">
      <w:pPr>
        <w:spacing w:line="600" w:lineRule="exact"/>
        <w:ind w:firstLine="640" w:firstLineChars="200"/>
        <w:rPr>
          <w:rFonts w:eastAsia="仿宋_GB2312"/>
          <w:sz w:val="32"/>
          <w:szCs w:val="32"/>
        </w:rPr>
      </w:pPr>
      <w:r>
        <w:rPr>
          <w:rFonts w:eastAsia="仿宋_GB2312"/>
          <w:sz w:val="32"/>
          <w:szCs w:val="32"/>
        </w:rPr>
        <w:t>3.具有较完善的能源资源、环境管理体系，各项管理制度健全，符合国家和地方的法律法规及标准规范要求，近三年无重大安全和环境污染事故；</w:t>
      </w:r>
    </w:p>
    <w:p w14:paraId="3C3AC62C">
      <w:pPr>
        <w:spacing w:line="600" w:lineRule="exact"/>
        <w:ind w:firstLine="640" w:firstLineChars="200"/>
        <w:rPr>
          <w:rFonts w:eastAsia="仿宋_GB2312"/>
          <w:sz w:val="32"/>
          <w:szCs w:val="32"/>
        </w:rPr>
      </w:pPr>
      <w:r>
        <w:rPr>
          <w:rFonts w:eastAsia="仿宋_GB2312"/>
          <w:sz w:val="32"/>
          <w:szCs w:val="32"/>
        </w:rPr>
        <w:t>4.拥有数量众多的供应商，在供应商中有很强的影响力，与上下游供应商建立良好的合作关系；</w:t>
      </w:r>
    </w:p>
    <w:p w14:paraId="56AB021E">
      <w:pPr>
        <w:spacing w:line="600" w:lineRule="exact"/>
        <w:ind w:firstLine="640" w:firstLineChars="200"/>
        <w:rPr>
          <w:rFonts w:eastAsia="仿宋_GB2312"/>
          <w:sz w:val="32"/>
          <w:szCs w:val="32"/>
        </w:rPr>
      </w:pPr>
      <w:r>
        <w:rPr>
          <w:rFonts w:eastAsia="仿宋_GB2312"/>
          <w:sz w:val="32"/>
          <w:szCs w:val="32"/>
        </w:rPr>
        <w:t>5.有完善的供应商管理体系，建立健全的供应商认证、选择、审核、绩效管理和退出机制；</w:t>
      </w:r>
    </w:p>
    <w:p w14:paraId="3C6FAA44">
      <w:pPr>
        <w:spacing w:line="600" w:lineRule="exact"/>
        <w:ind w:firstLine="640" w:firstLineChars="200"/>
        <w:rPr>
          <w:rFonts w:eastAsia="仿宋_GB2312"/>
          <w:sz w:val="32"/>
          <w:szCs w:val="32"/>
        </w:rPr>
      </w:pPr>
      <w:r>
        <w:rPr>
          <w:rFonts w:eastAsia="仿宋_GB2312"/>
          <w:sz w:val="32"/>
          <w:szCs w:val="32"/>
        </w:rPr>
        <w:t>6.有健全的财务管理制度，销售盈利能力处于行业领先水平；</w:t>
      </w:r>
    </w:p>
    <w:p w14:paraId="046715C6">
      <w:pPr>
        <w:spacing w:line="600" w:lineRule="exact"/>
        <w:ind w:firstLine="640" w:firstLineChars="200"/>
        <w:rPr>
          <w:rFonts w:eastAsia="仿宋_GB2312"/>
          <w:sz w:val="32"/>
          <w:szCs w:val="32"/>
        </w:rPr>
      </w:pPr>
      <w:r>
        <w:rPr>
          <w:rFonts w:eastAsia="仿宋_GB2312"/>
          <w:sz w:val="32"/>
          <w:szCs w:val="32"/>
        </w:rPr>
        <w:t>7.对实施绿色供应链管理有明确的工作目标、思路、计划和措施。</w:t>
      </w:r>
    </w:p>
    <w:p w14:paraId="37C5713F">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二、企业绿色供应链管理关键环节</w:t>
      </w:r>
    </w:p>
    <w:p w14:paraId="0EEB92D6">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（一）确立可持续的绿色供应链管理战略</w:t>
      </w:r>
    </w:p>
    <w:p w14:paraId="6B32F982">
      <w:pPr>
        <w:spacing w:line="600" w:lineRule="exact"/>
        <w:ind w:firstLine="640" w:firstLineChars="200"/>
        <w:rPr>
          <w:rFonts w:ascii="仿宋_GB2312" w:eastAsia="仿宋_GB2312"/>
          <w:sz w:val="32"/>
          <w:szCs w:val="32"/>
        </w:rPr>
      </w:pPr>
      <w:r>
        <w:rPr>
          <w:rFonts w:hint="eastAsia" w:ascii="仿宋_GB2312" w:eastAsia="仿宋_GB2312"/>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14:paraId="290B23E1">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（二）实施绿色供应商管理</w:t>
      </w:r>
    </w:p>
    <w:p w14:paraId="3E85BCA4">
      <w:pPr>
        <w:spacing w:line="600" w:lineRule="exact"/>
        <w:ind w:firstLine="640" w:firstLineChars="200"/>
        <w:rPr>
          <w:rFonts w:ascii="仿宋_GB2312" w:eastAsia="仿宋_GB2312"/>
          <w:sz w:val="32"/>
          <w:szCs w:val="32"/>
        </w:rPr>
      </w:pPr>
      <w:r>
        <w:rPr>
          <w:rFonts w:hint="eastAsia" w:ascii="仿宋_GB2312" w:eastAsia="仿宋_GB2312"/>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材料和包装材料用量、用更环保的材料替代，避免或减少环境污染。定期对供应商进行培训和技术支持，传递客户和其他利益相关者的环境要求，帮助供应商将要求融入业务之中并逐级传递。</w:t>
      </w:r>
    </w:p>
    <w:p w14:paraId="2C3BE553">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（三）强化绿色生产</w:t>
      </w:r>
    </w:p>
    <w:p w14:paraId="5E7CF450">
      <w:pPr>
        <w:spacing w:line="600" w:lineRule="exact"/>
        <w:ind w:firstLine="640" w:firstLineChars="200"/>
        <w:rPr>
          <w:rFonts w:ascii="仿宋_GB2312" w:eastAsia="仿宋_GB2312"/>
          <w:sz w:val="32"/>
          <w:szCs w:val="32"/>
        </w:rPr>
      </w:pPr>
      <w:r>
        <w:rPr>
          <w:rFonts w:hint="eastAsia" w:ascii="仿宋_GB2312" w:eastAsia="仿宋_GB2312"/>
          <w:sz w:val="32"/>
          <w:szCs w:val="32"/>
        </w:rPr>
        <w:t>企业要建立基于产品全生命周期的绿色设计理念，整合环境数据资源，建立基础过程和产品数据库，构建评价模型，在研发设计阶段开展全生命周期</w:t>
      </w:r>
      <w:r>
        <w:rPr>
          <w:rFonts w:eastAsia="仿宋_GB2312"/>
          <w:sz w:val="32"/>
          <w:szCs w:val="32"/>
        </w:rPr>
        <w:t>（LCA）</w:t>
      </w:r>
      <w:r>
        <w:rPr>
          <w:rFonts w:hint="eastAsia" w:ascii="仿宋_GB2312" w:eastAsia="仿宋_GB2312"/>
          <w:sz w:val="32"/>
          <w:szCs w:val="32"/>
        </w:rPr>
        <w:t>评价。不断提升绿色技术创新能力，采用先进适用的工艺技术与设备，减少或者避免生产过程中污染物的产生和排放。积极参与国际相关技术规范标准的制定，促进业界绿色生产水平提升，引领行业变革。</w:t>
      </w:r>
    </w:p>
    <w:p w14:paraId="1FDECA31">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（四）建设绿色回收体系</w:t>
      </w:r>
    </w:p>
    <w:p w14:paraId="75E08EFB">
      <w:pPr>
        <w:spacing w:line="600" w:lineRule="exact"/>
        <w:ind w:firstLine="640" w:firstLineChars="200"/>
        <w:rPr>
          <w:rFonts w:ascii="仿宋_GB2312" w:eastAsia="仿宋_GB2312"/>
          <w:sz w:val="32"/>
          <w:szCs w:val="32"/>
        </w:rPr>
      </w:pPr>
      <w:r>
        <w:rPr>
          <w:rFonts w:hint="eastAsia" w:ascii="仿宋_GB2312" w:eastAsia="仿宋_GB2312"/>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14:paraId="3C1C70F9">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（五）搭建绿色信息收集监测披露平台</w:t>
      </w:r>
    </w:p>
    <w:p w14:paraId="543DEDD1">
      <w:pPr>
        <w:spacing w:line="600" w:lineRule="exact"/>
        <w:ind w:firstLine="640" w:firstLineChars="200"/>
        <w:rPr>
          <w:rFonts w:ascii="仿宋_GB2312" w:eastAsia="仿宋_GB2312"/>
          <w:sz w:val="32"/>
          <w:szCs w:val="32"/>
        </w:rPr>
      </w:pPr>
      <w:r>
        <w:rPr>
          <w:rFonts w:hint="eastAsia" w:ascii="仿宋_GB2312" w:eastAsia="仿宋_GB2312"/>
          <w:bCs/>
          <w:sz w:val="32"/>
          <w:szCs w:val="32"/>
        </w:rPr>
        <w:t>企业要建立能源消耗在线监测体系和减排监测数据库，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14:paraId="7F5958D5">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三、企业绿色供应链管理评价方法</w:t>
      </w:r>
    </w:p>
    <w:p w14:paraId="2C46FDED">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（一）评价方式</w:t>
      </w:r>
    </w:p>
    <w:p w14:paraId="67FDC511">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企业绿色供应链管理评价由第三方机构组织实施。</w:t>
      </w:r>
    </w:p>
    <w:p w14:paraId="77EB653A">
      <w:pPr>
        <w:spacing w:line="600" w:lineRule="exact"/>
        <w:ind w:firstLine="640" w:firstLineChars="200"/>
        <w:rPr>
          <w:rFonts w:ascii="仿宋_GB2312" w:eastAsia="仿宋_GB2312"/>
          <w:sz w:val="32"/>
          <w:szCs w:val="32"/>
        </w:rPr>
      </w:pPr>
      <w:r>
        <w:rPr>
          <w:rFonts w:eastAsia="仿宋_GB2312"/>
          <w:sz w:val="32"/>
          <w:szCs w:val="32"/>
        </w:rPr>
        <w:t>2</w:t>
      </w:r>
      <w:r>
        <w:rPr>
          <w:rFonts w:hint="eastAsia" w:eastAsia="仿宋_GB2312"/>
          <w:sz w:val="32"/>
          <w:szCs w:val="32"/>
        </w:rPr>
        <w:t>.</w:t>
      </w:r>
      <w:r>
        <w:rPr>
          <w:rFonts w:hint="eastAsia" w:ascii="仿宋_GB2312" w:eastAsia="仿宋_GB2312"/>
          <w:sz w:val="32"/>
          <w:szCs w:val="32"/>
        </w:rPr>
        <w:t>第三方机构根据绿色供应链管理关键环节，按照评价标准对企业进行实地调查，查阅相关文件、报表、数据等，确保评价结果客观准确。</w:t>
      </w:r>
    </w:p>
    <w:p w14:paraId="62A64691">
      <w:pPr>
        <w:spacing w:line="600" w:lineRule="exact"/>
        <w:ind w:firstLine="640" w:firstLineChars="200"/>
        <w:rPr>
          <w:rFonts w:ascii="楷体" w:hAnsi="楷体" w:eastAsia="楷体" w:cs="楷体"/>
          <w:sz w:val="32"/>
          <w:szCs w:val="32"/>
        </w:rPr>
      </w:pPr>
      <w:r>
        <w:rPr>
          <w:rFonts w:hint="eastAsia" w:ascii="楷体" w:hAnsi="楷体" w:eastAsia="楷体" w:cs="楷体"/>
          <w:sz w:val="32"/>
          <w:szCs w:val="32"/>
        </w:rPr>
        <w:t>（二）评价指标体系</w:t>
      </w:r>
    </w:p>
    <w:p w14:paraId="233DF63C">
      <w:pPr>
        <w:spacing w:line="600" w:lineRule="exact"/>
        <w:ind w:firstLine="630"/>
        <w:rPr>
          <w:rFonts w:ascii="仿宋_GB2312" w:eastAsia="仿宋_GB2312"/>
          <w:sz w:val="32"/>
          <w:szCs w:val="32"/>
        </w:rPr>
      </w:pPr>
      <w:r>
        <w:rPr>
          <w:rFonts w:hint="eastAsia" w:ascii="仿宋_GB2312" w:eastAsia="仿宋_GB2312"/>
          <w:sz w:val="32"/>
          <w:szCs w:val="32"/>
        </w:rPr>
        <w:t>绿色供应链管理评价指标体系包括绿色供应链管理战略指标、绿色供应商管理指标、绿色生产指标、绿色回收指标、绿色信息平台建设指标、绿色信息</w:t>
      </w:r>
      <w:r>
        <w:rPr>
          <w:rFonts w:eastAsia="仿宋_GB2312"/>
          <w:sz w:val="32"/>
          <w:szCs w:val="32"/>
        </w:rPr>
        <w:t>披露指标6个方面。具体如附表3.1所示。</w:t>
      </w:r>
    </w:p>
    <w:p w14:paraId="0B589BB9">
      <w:pPr>
        <w:jc w:val="center"/>
        <w:rPr>
          <w:rFonts w:ascii="黑体" w:hAnsi="黑体" w:eastAsia="黑体"/>
          <w:sz w:val="28"/>
          <w:szCs w:val="28"/>
        </w:rPr>
      </w:pPr>
      <w:r>
        <w:rPr>
          <w:rFonts w:hint="eastAsia" w:ascii="黑体" w:hAnsi="黑体" w:eastAsia="黑体"/>
          <w:sz w:val="28"/>
          <w:szCs w:val="28"/>
        </w:rPr>
        <w:t>附表</w:t>
      </w:r>
      <w:r>
        <w:rPr>
          <w:rFonts w:eastAsia="黑体"/>
          <w:sz w:val="28"/>
          <w:szCs w:val="28"/>
        </w:rPr>
        <w:t xml:space="preserve">3.1 </w:t>
      </w:r>
      <w:r>
        <w:rPr>
          <w:rFonts w:hint="eastAsia" w:ascii="黑体" w:hAnsi="黑体" w:eastAsia="黑体"/>
          <w:sz w:val="28"/>
          <w:szCs w:val="28"/>
        </w:rPr>
        <w:t xml:space="preserve"> 企业绿色供应链管理评价指标体系</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14:paraId="0F9F8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center"/>
          </w:tcPr>
          <w:p w14:paraId="32687ECE">
            <w:pPr>
              <w:jc w:val="center"/>
              <w:rPr>
                <w:rFonts w:eastAsia="仿宋_GB2312"/>
                <w:sz w:val="24"/>
              </w:rPr>
            </w:pPr>
            <w:r>
              <w:rPr>
                <w:rFonts w:eastAsia="仿宋_GB2312"/>
                <w:sz w:val="24"/>
              </w:rPr>
              <w:t>一级指标</w:t>
            </w:r>
          </w:p>
        </w:tc>
        <w:tc>
          <w:tcPr>
            <w:tcW w:w="728" w:type="dxa"/>
            <w:noWrap w:val="0"/>
            <w:vAlign w:val="center"/>
          </w:tcPr>
          <w:p w14:paraId="69DA944E">
            <w:pPr>
              <w:jc w:val="center"/>
              <w:rPr>
                <w:rFonts w:eastAsia="仿宋_GB2312"/>
                <w:sz w:val="24"/>
              </w:rPr>
            </w:pPr>
            <w:r>
              <w:rPr>
                <w:rFonts w:eastAsia="仿宋_GB2312"/>
                <w:sz w:val="24"/>
              </w:rPr>
              <w:t>序号</w:t>
            </w:r>
          </w:p>
        </w:tc>
        <w:tc>
          <w:tcPr>
            <w:tcW w:w="3601" w:type="dxa"/>
            <w:noWrap w:val="0"/>
            <w:vAlign w:val="center"/>
          </w:tcPr>
          <w:p w14:paraId="3B7A953A">
            <w:pPr>
              <w:jc w:val="center"/>
              <w:rPr>
                <w:rFonts w:eastAsia="仿宋_GB2312"/>
                <w:sz w:val="24"/>
              </w:rPr>
            </w:pPr>
            <w:r>
              <w:rPr>
                <w:rFonts w:eastAsia="仿宋_GB2312"/>
                <w:sz w:val="24"/>
              </w:rPr>
              <w:t>二级指标</w:t>
            </w:r>
          </w:p>
        </w:tc>
        <w:tc>
          <w:tcPr>
            <w:tcW w:w="719" w:type="dxa"/>
            <w:noWrap w:val="0"/>
            <w:vAlign w:val="center"/>
          </w:tcPr>
          <w:p w14:paraId="045A68BD">
            <w:pPr>
              <w:jc w:val="center"/>
              <w:rPr>
                <w:rFonts w:eastAsia="仿宋_GB2312"/>
                <w:sz w:val="24"/>
              </w:rPr>
            </w:pPr>
            <w:r>
              <w:rPr>
                <w:rFonts w:eastAsia="仿宋_GB2312"/>
                <w:sz w:val="24"/>
              </w:rPr>
              <w:t>单位</w:t>
            </w:r>
          </w:p>
        </w:tc>
        <w:tc>
          <w:tcPr>
            <w:tcW w:w="840" w:type="dxa"/>
            <w:noWrap w:val="0"/>
            <w:vAlign w:val="center"/>
          </w:tcPr>
          <w:p w14:paraId="06913332">
            <w:pPr>
              <w:jc w:val="center"/>
              <w:rPr>
                <w:rFonts w:eastAsia="仿宋_GB2312"/>
                <w:sz w:val="24"/>
              </w:rPr>
            </w:pPr>
            <w:r>
              <w:rPr>
                <w:rFonts w:eastAsia="仿宋_GB2312"/>
                <w:sz w:val="24"/>
              </w:rPr>
              <w:t>最高分值</w:t>
            </w:r>
          </w:p>
        </w:tc>
        <w:tc>
          <w:tcPr>
            <w:tcW w:w="1454" w:type="dxa"/>
            <w:noWrap w:val="0"/>
            <w:vAlign w:val="center"/>
          </w:tcPr>
          <w:p w14:paraId="7D254E88">
            <w:pPr>
              <w:jc w:val="center"/>
              <w:rPr>
                <w:rFonts w:eastAsia="仿宋_GB2312"/>
                <w:sz w:val="24"/>
              </w:rPr>
            </w:pPr>
            <w:r>
              <w:rPr>
                <w:rFonts w:eastAsia="仿宋_GB2312"/>
                <w:sz w:val="24"/>
              </w:rPr>
              <w:t>指标类型</w:t>
            </w:r>
          </w:p>
        </w:tc>
      </w:tr>
      <w:tr w14:paraId="489E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14:paraId="6F554449">
            <w:pPr>
              <w:jc w:val="center"/>
              <w:rPr>
                <w:rFonts w:eastAsia="仿宋_GB2312"/>
                <w:sz w:val="24"/>
              </w:rPr>
            </w:pPr>
            <w:r>
              <w:rPr>
                <w:rFonts w:eastAsia="仿宋_GB2312"/>
                <w:sz w:val="24"/>
              </w:rPr>
              <w:t>绿色供应链管理</w:t>
            </w:r>
          </w:p>
          <w:p w14:paraId="77C7043C">
            <w:pPr>
              <w:jc w:val="center"/>
              <w:rPr>
                <w:rFonts w:eastAsia="仿宋_GB2312"/>
                <w:sz w:val="24"/>
              </w:rPr>
            </w:pPr>
            <w:r>
              <w:rPr>
                <w:rFonts w:eastAsia="仿宋_GB2312"/>
                <w:sz w:val="24"/>
              </w:rPr>
              <w:t>战略X1</w:t>
            </w:r>
          </w:p>
        </w:tc>
        <w:tc>
          <w:tcPr>
            <w:tcW w:w="728" w:type="dxa"/>
            <w:noWrap w:val="0"/>
            <w:vAlign w:val="top"/>
          </w:tcPr>
          <w:p w14:paraId="74B28DD6">
            <w:pPr>
              <w:jc w:val="center"/>
              <w:rPr>
                <w:rFonts w:eastAsia="仿宋_GB2312"/>
                <w:sz w:val="24"/>
              </w:rPr>
            </w:pPr>
            <w:r>
              <w:rPr>
                <w:rFonts w:eastAsia="仿宋_GB2312"/>
                <w:sz w:val="24"/>
              </w:rPr>
              <w:t>1</w:t>
            </w:r>
          </w:p>
        </w:tc>
        <w:tc>
          <w:tcPr>
            <w:tcW w:w="3601" w:type="dxa"/>
            <w:noWrap w:val="0"/>
            <w:vAlign w:val="center"/>
          </w:tcPr>
          <w:p w14:paraId="1843F3C4">
            <w:pPr>
              <w:rPr>
                <w:rFonts w:eastAsia="仿宋_GB2312"/>
                <w:sz w:val="24"/>
              </w:rPr>
            </w:pPr>
            <w:r>
              <w:rPr>
                <w:rFonts w:eastAsia="仿宋_GB2312"/>
                <w:sz w:val="24"/>
              </w:rPr>
              <w:t>纳入公司发展规划X11</w:t>
            </w:r>
          </w:p>
        </w:tc>
        <w:tc>
          <w:tcPr>
            <w:tcW w:w="719" w:type="dxa"/>
            <w:noWrap w:val="0"/>
            <w:vAlign w:val="center"/>
          </w:tcPr>
          <w:p w14:paraId="4D7055AD">
            <w:pPr>
              <w:jc w:val="center"/>
              <w:rPr>
                <w:rFonts w:eastAsia="仿宋_GB2312"/>
                <w:sz w:val="24"/>
              </w:rPr>
            </w:pPr>
            <w:r>
              <w:rPr>
                <w:rFonts w:eastAsia="仿宋_GB2312"/>
                <w:sz w:val="24"/>
              </w:rPr>
              <w:t>-</w:t>
            </w:r>
          </w:p>
        </w:tc>
        <w:tc>
          <w:tcPr>
            <w:tcW w:w="840" w:type="dxa"/>
            <w:noWrap w:val="0"/>
            <w:vAlign w:val="center"/>
          </w:tcPr>
          <w:p w14:paraId="3CBA4A87">
            <w:pPr>
              <w:jc w:val="center"/>
              <w:rPr>
                <w:rFonts w:eastAsia="仿宋_GB2312"/>
                <w:sz w:val="24"/>
              </w:rPr>
            </w:pPr>
            <w:r>
              <w:rPr>
                <w:rFonts w:eastAsia="仿宋_GB2312"/>
                <w:sz w:val="24"/>
              </w:rPr>
              <w:t>8</w:t>
            </w:r>
          </w:p>
        </w:tc>
        <w:tc>
          <w:tcPr>
            <w:tcW w:w="1454" w:type="dxa"/>
            <w:noWrap w:val="0"/>
            <w:vAlign w:val="center"/>
          </w:tcPr>
          <w:p w14:paraId="1E9DF066">
            <w:pPr>
              <w:jc w:val="center"/>
              <w:rPr>
                <w:rFonts w:eastAsia="仿宋_GB2312"/>
                <w:sz w:val="24"/>
              </w:rPr>
            </w:pPr>
            <w:r>
              <w:rPr>
                <w:rFonts w:eastAsia="仿宋_GB2312"/>
                <w:sz w:val="24"/>
              </w:rPr>
              <w:t>定性</w:t>
            </w:r>
          </w:p>
        </w:tc>
      </w:tr>
      <w:tr w14:paraId="29AB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30D6550F">
            <w:pPr>
              <w:jc w:val="center"/>
              <w:rPr>
                <w:rFonts w:eastAsia="仿宋_GB2312"/>
                <w:sz w:val="24"/>
              </w:rPr>
            </w:pPr>
          </w:p>
        </w:tc>
        <w:tc>
          <w:tcPr>
            <w:tcW w:w="728" w:type="dxa"/>
            <w:noWrap w:val="0"/>
            <w:vAlign w:val="top"/>
          </w:tcPr>
          <w:p w14:paraId="1AF7565A">
            <w:pPr>
              <w:jc w:val="center"/>
              <w:rPr>
                <w:rFonts w:eastAsia="仿宋_GB2312"/>
                <w:sz w:val="24"/>
              </w:rPr>
            </w:pPr>
            <w:r>
              <w:rPr>
                <w:rFonts w:eastAsia="仿宋_GB2312"/>
                <w:sz w:val="24"/>
              </w:rPr>
              <w:t>2</w:t>
            </w:r>
          </w:p>
        </w:tc>
        <w:tc>
          <w:tcPr>
            <w:tcW w:w="3601" w:type="dxa"/>
            <w:noWrap w:val="0"/>
            <w:vAlign w:val="center"/>
          </w:tcPr>
          <w:p w14:paraId="2E745BDB">
            <w:pPr>
              <w:rPr>
                <w:rFonts w:eastAsia="仿宋_GB2312"/>
                <w:sz w:val="24"/>
              </w:rPr>
            </w:pPr>
            <w:r>
              <w:rPr>
                <w:rFonts w:eastAsia="仿宋_GB2312"/>
                <w:sz w:val="24"/>
              </w:rPr>
              <w:t>制定绿色供应链管理目标X12</w:t>
            </w:r>
          </w:p>
        </w:tc>
        <w:tc>
          <w:tcPr>
            <w:tcW w:w="719" w:type="dxa"/>
            <w:noWrap w:val="0"/>
            <w:vAlign w:val="center"/>
          </w:tcPr>
          <w:p w14:paraId="1DB585CD">
            <w:pPr>
              <w:jc w:val="center"/>
              <w:rPr>
                <w:rFonts w:eastAsia="仿宋_GB2312"/>
                <w:sz w:val="24"/>
              </w:rPr>
            </w:pPr>
            <w:r>
              <w:rPr>
                <w:rFonts w:eastAsia="仿宋_GB2312"/>
                <w:sz w:val="24"/>
              </w:rPr>
              <w:t>-</w:t>
            </w:r>
          </w:p>
        </w:tc>
        <w:tc>
          <w:tcPr>
            <w:tcW w:w="840" w:type="dxa"/>
            <w:noWrap w:val="0"/>
            <w:vAlign w:val="center"/>
          </w:tcPr>
          <w:p w14:paraId="1DA45D1A">
            <w:pPr>
              <w:jc w:val="center"/>
              <w:rPr>
                <w:rFonts w:eastAsia="仿宋_GB2312"/>
                <w:sz w:val="24"/>
              </w:rPr>
            </w:pPr>
            <w:r>
              <w:rPr>
                <w:rFonts w:eastAsia="仿宋_GB2312"/>
                <w:sz w:val="24"/>
              </w:rPr>
              <w:t>6</w:t>
            </w:r>
          </w:p>
        </w:tc>
        <w:tc>
          <w:tcPr>
            <w:tcW w:w="1454" w:type="dxa"/>
            <w:noWrap w:val="0"/>
            <w:vAlign w:val="center"/>
          </w:tcPr>
          <w:p w14:paraId="673702C6">
            <w:pPr>
              <w:jc w:val="center"/>
              <w:rPr>
                <w:rFonts w:eastAsia="仿宋_GB2312"/>
                <w:sz w:val="24"/>
              </w:rPr>
            </w:pPr>
            <w:r>
              <w:rPr>
                <w:rFonts w:eastAsia="仿宋_GB2312"/>
                <w:sz w:val="24"/>
              </w:rPr>
              <w:t>定性</w:t>
            </w:r>
          </w:p>
        </w:tc>
      </w:tr>
      <w:tr w14:paraId="2445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024AE6B6">
            <w:pPr>
              <w:rPr>
                <w:rFonts w:eastAsia="仿宋_GB2312"/>
                <w:sz w:val="24"/>
              </w:rPr>
            </w:pPr>
          </w:p>
        </w:tc>
        <w:tc>
          <w:tcPr>
            <w:tcW w:w="728" w:type="dxa"/>
            <w:noWrap w:val="0"/>
            <w:vAlign w:val="top"/>
          </w:tcPr>
          <w:p w14:paraId="4FA27C60">
            <w:pPr>
              <w:jc w:val="center"/>
              <w:rPr>
                <w:rFonts w:eastAsia="仿宋_GB2312"/>
                <w:sz w:val="24"/>
              </w:rPr>
            </w:pPr>
            <w:r>
              <w:rPr>
                <w:rFonts w:eastAsia="仿宋_GB2312"/>
                <w:sz w:val="24"/>
              </w:rPr>
              <w:t>3</w:t>
            </w:r>
          </w:p>
        </w:tc>
        <w:tc>
          <w:tcPr>
            <w:tcW w:w="3601" w:type="dxa"/>
            <w:noWrap w:val="0"/>
            <w:vAlign w:val="center"/>
          </w:tcPr>
          <w:p w14:paraId="24929C2B">
            <w:pPr>
              <w:rPr>
                <w:rFonts w:eastAsia="仿宋_GB2312"/>
                <w:sz w:val="24"/>
              </w:rPr>
            </w:pPr>
            <w:r>
              <w:rPr>
                <w:rFonts w:eastAsia="仿宋_GB2312"/>
                <w:sz w:val="24"/>
              </w:rPr>
              <w:t>设置专门管理机构X13</w:t>
            </w:r>
          </w:p>
        </w:tc>
        <w:tc>
          <w:tcPr>
            <w:tcW w:w="719" w:type="dxa"/>
            <w:noWrap w:val="0"/>
            <w:vAlign w:val="center"/>
          </w:tcPr>
          <w:p w14:paraId="58DB5988">
            <w:pPr>
              <w:jc w:val="center"/>
              <w:rPr>
                <w:rFonts w:eastAsia="仿宋_GB2312"/>
                <w:sz w:val="24"/>
              </w:rPr>
            </w:pPr>
            <w:r>
              <w:rPr>
                <w:rFonts w:eastAsia="仿宋_GB2312"/>
                <w:sz w:val="24"/>
              </w:rPr>
              <w:t>-</w:t>
            </w:r>
          </w:p>
        </w:tc>
        <w:tc>
          <w:tcPr>
            <w:tcW w:w="840" w:type="dxa"/>
            <w:noWrap w:val="0"/>
            <w:vAlign w:val="center"/>
          </w:tcPr>
          <w:p w14:paraId="39611089">
            <w:pPr>
              <w:jc w:val="center"/>
              <w:rPr>
                <w:rFonts w:eastAsia="仿宋_GB2312"/>
                <w:sz w:val="24"/>
              </w:rPr>
            </w:pPr>
            <w:r>
              <w:rPr>
                <w:rFonts w:eastAsia="仿宋_GB2312"/>
                <w:sz w:val="24"/>
              </w:rPr>
              <w:t>6</w:t>
            </w:r>
          </w:p>
        </w:tc>
        <w:tc>
          <w:tcPr>
            <w:tcW w:w="1454" w:type="dxa"/>
            <w:noWrap w:val="0"/>
            <w:vAlign w:val="center"/>
          </w:tcPr>
          <w:p w14:paraId="5CD798D7">
            <w:pPr>
              <w:jc w:val="center"/>
              <w:rPr>
                <w:rFonts w:eastAsia="仿宋_GB2312"/>
                <w:sz w:val="24"/>
              </w:rPr>
            </w:pPr>
            <w:r>
              <w:rPr>
                <w:rFonts w:eastAsia="仿宋_GB2312"/>
                <w:sz w:val="24"/>
              </w:rPr>
              <w:t>定性</w:t>
            </w:r>
          </w:p>
        </w:tc>
      </w:tr>
      <w:tr w14:paraId="50FD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14:paraId="34BB7539">
            <w:pPr>
              <w:jc w:val="center"/>
              <w:rPr>
                <w:rFonts w:eastAsia="仿宋_GB2312"/>
                <w:sz w:val="24"/>
              </w:rPr>
            </w:pPr>
            <w:r>
              <w:rPr>
                <w:rFonts w:eastAsia="仿宋_GB2312"/>
                <w:sz w:val="24"/>
              </w:rPr>
              <w:t>实施绿色供应商</w:t>
            </w:r>
          </w:p>
          <w:p w14:paraId="5CBD6605">
            <w:pPr>
              <w:jc w:val="center"/>
              <w:rPr>
                <w:rFonts w:eastAsia="仿宋_GB2312"/>
                <w:sz w:val="24"/>
              </w:rPr>
            </w:pPr>
            <w:r>
              <w:rPr>
                <w:rFonts w:eastAsia="仿宋_GB2312"/>
                <w:sz w:val="24"/>
              </w:rPr>
              <w:t>管理X2</w:t>
            </w:r>
          </w:p>
        </w:tc>
        <w:tc>
          <w:tcPr>
            <w:tcW w:w="728" w:type="dxa"/>
            <w:noWrap w:val="0"/>
            <w:vAlign w:val="top"/>
          </w:tcPr>
          <w:p w14:paraId="7ADEA33C">
            <w:pPr>
              <w:jc w:val="center"/>
              <w:rPr>
                <w:rFonts w:eastAsia="仿宋_GB2312"/>
                <w:sz w:val="24"/>
              </w:rPr>
            </w:pPr>
            <w:r>
              <w:rPr>
                <w:rFonts w:eastAsia="仿宋_GB2312"/>
                <w:sz w:val="24"/>
              </w:rPr>
              <w:t>4</w:t>
            </w:r>
          </w:p>
        </w:tc>
        <w:tc>
          <w:tcPr>
            <w:tcW w:w="3601" w:type="dxa"/>
            <w:noWrap w:val="0"/>
            <w:vAlign w:val="center"/>
          </w:tcPr>
          <w:p w14:paraId="6B593D59">
            <w:pPr>
              <w:rPr>
                <w:rFonts w:eastAsia="仿宋_GB2312"/>
                <w:sz w:val="24"/>
              </w:rPr>
            </w:pPr>
            <w:r>
              <w:rPr>
                <w:rFonts w:eastAsia="仿宋_GB2312"/>
                <w:sz w:val="24"/>
              </w:rPr>
              <w:t>绿色采购标准制度完善X21</w:t>
            </w:r>
          </w:p>
        </w:tc>
        <w:tc>
          <w:tcPr>
            <w:tcW w:w="719" w:type="dxa"/>
            <w:noWrap w:val="0"/>
            <w:vAlign w:val="center"/>
          </w:tcPr>
          <w:p w14:paraId="185B8495">
            <w:pPr>
              <w:jc w:val="center"/>
              <w:rPr>
                <w:rFonts w:eastAsia="仿宋_GB2312"/>
                <w:sz w:val="24"/>
              </w:rPr>
            </w:pPr>
            <w:r>
              <w:rPr>
                <w:rFonts w:eastAsia="仿宋_GB2312"/>
                <w:sz w:val="24"/>
              </w:rPr>
              <w:t>-</w:t>
            </w:r>
          </w:p>
        </w:tc>
        <w:tc>
          <w:tcPr>
            <w:tcW w:w="840" w:type="dxa"/>
            <w:noWrap w:val="0"/>
            <w:vAlign w:val="center"/>
          </w:tcPr>
          <w:p w14:paraId="503B77E5">
            <w:pPr>
              <w:jc w:val="center"/>
              <w:rPr>
                <w:rFonts w:eastAsia="仿宋_GB2312"/>
                <w:sz w:val="24"/>
              </w:rPr>
            </w:pPr>
            <w:r>
              <w:rPr>
                <w:rFonts w:eastAsia="仿宋_GB2312"/>
                <w:sz w:val="24"/>
              </w:rPr>
              <w:t>4</w:t>
            </w:r>
          </w:p>
        </w:tc>
        <w:tc>
          <w:tcPr>
            <w:tcW w:w="1454" w:type="dxa"/>
            <w:noWrap w:val="0"/>
            <w:vAlign w:val="center"/>
          </w:tcPr>
          <w:p w14:paraId="041E47E6">
            <w:pPr>
              <w:jc w:val="center"/>
              <w:rPr>
                <w:rFonts w:eastAsia="仿宋_GB2312"/>
                <w:sz w:val="24"/>
              </w:rPr>
            </w:pPr>
            <w:r>
              <w:rPr>
                <w:rFonts w:eastAsia="仿宋_GB2312"/>
                <w:sz w:val="24"/>
              </w:rPr>
              <w:t>定性</w:t>
            </w:r>
          </w:p>
        </w:tc>
      </w:tr>
      <w:tr w14:paraId="102C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66515B90">
            <w:pPr>
              <w:jc w:val="center"/>
              <w:rPr>
                <w:rFonts w:eastAsia="仿宋_GB2312"/>
                <w:sz w:val="24"/>
              </w:rPr>
            </w:pPr>
          </w:p>
        </w:tc>
        <w:tc>
          <w:tcPr>
            <w:tcW w:w="728" w:type="dxa"/>
            <w:noWrap w:val="0"/>
            <w:vAlign w:val="top"/>
          </w:tcPr>
          <w:p w14:paraId="6031B8A1">
            <w:pPr>
              <w:jc w:val="center"/>
              <w:rPr>
                <w:rFonts w:eastAsia="仿宋_GB2312"/>
                <w:sz w:val="24"/>
              </w:rPr>
            </w:pPr>
            <w:r>
              <w:rPr>
                <w:rFonts w:eastAsia="仿宋_GB2312"/>
                <w:sz w:val="24"/>
              </w:rPr>
              <w:t>5</w:t>
            </w:r>
          </w:p>
        </w:tc>
        <w:tc>
          <w:tcPr>
            <w:tcW w:w="3601" w:type="dxa"/>
            <w:noWrap w:val="0"/>
            <w:vAlign w:val="center"/>
          </w:tcPr>
          <w:p w14:paraId="49ECA9E4">
            <w:pPr>
              <w:rPr>
                <w:rFonts w:eastAsia="仿宋_GB2312"/>
                <w:sz w:val="24"/>
              </w:rPr>
            </w:pPr>
            <w:r>
              <w:rPr>
                <w:rFonts w:eastAsia="仿宋_GB2312"/>
                <w:sz w:val="24"/>
              </w:rPr>
              <w:t>供应商认证体系完善X22</w:t>
            </w:r>
          </w:p>
        </w:tc>
        <w:tc>
          <w:tcPr>
            <w:tcW w:w="719" w:type="dxa"/>
            <w:noWrap w:val="0"/>
            <w:vAlign w:val="center"/>
          </w:tcPr>
          <w:p w14:paraId="59AFFD71">
            <w:pPr>
              <w:jc w:val="center"/>
              <w:rPr>
                <w:rFonts w:eastAsia="仿宋_GB2312"/>
                <w:sz w:val="24"/>
              </w:rPr>
            </w:pPr>
            <w:r>
              <w:rPr>
                <w:rFonts w:eastAsia="仿宋_GB2312"/>
                <w:sz w:val="24"/>
              </w:rPr>
              <w:t>-</w:t>
            </w:r>
          </w:p>
        </w:tc>
        <w:tc>
          <w:tcPr>
            <w:tcW w:w="840" w:type="dxa"/>
            <w:noWrap w:val="0"/>
            <w:vAlign w:val="center"/>
          </w:tcPr>
          <w:p w14:paraId="1F6358E0">
            <w:pPr>
              <w:jc w:val="center"/>
              <w:rPr>
                <w:rFonts w:eastAsia="仿宋_GB2312"/>
                <w:sz w:val="24"/>
              </w:rPr>
            </w:pPr>
            <w:r>
              <w:rPr>
                <w:rFonts w:eastAsia="仿宋_GB2312"/>
                <w:sz w:val="24"/>
              </w:rPr>
              <w:t>3</w:t>
            </w:r>
          </w:p>
        </w:tc>
        <w:tc>
          <w:tcPr>
            <w:tcW w:w="1454" w:type="dxa"/>
            <w:noWrap w:val="0"/>
            <w:vAlign w:val="center"/>
          </w:tcPr>
          <w:p w14:paraId="09618710">
            <w:pPr>
              <w:jc w:val="center"/>
              <w:rPr>
                <w:rFonts w:eastAsia="仿宋_GB2312"/>
                <w:sz w:val="24"/>
              </w:rPr>
            </w:pPr>
            <w:r>
              <w:rPr>
                <w:rFonts w:eastAsia="仿宋_GB2312"/>
                <w:sz w:val="24"/>
              </w:rPr>
              <w:t>定性</w:t>
            </w:r>
          </w:p>
        </w:tc>
      </w:tr>
      <w:tr w14:paraId="37F8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51D2FA37">
            <w:pPr>
              <w:rPr>
                <w:rFonts w:eastAsia="仿宋_GB2312"/>
                <w:sz w:val="24"/>
              </w:rPr>
            </w:pPr>
          </w:p>
        </w:tc>
        <w:tc>
          <w:tcPr>
            <w:tcW w:w="728" w:type="dxa"/>
            <w:noWrap w:val="0"/>
            <w:vAlign w:val="top"/>
          </w:tcPr>
          <w:p w14:paraId="05BFBB57">
            <w:pPr>
              <w:jc w:val="center"/>
              <w:rPr>
                <w:rFonts w:eastAsia="仿宋_GB2312"/>
                <w:sz w:val="24"/>
              </w:rPr>
            </w:pPr>
            <w:r>
              <w:rPr>
                <w:rFonts w:eastAsia="仿宋_GB2312"/>
                <w:sz w:val="24"/>
              </w:rPr>
              <w:t>6</w:t>
            </w:r>
          </w:p>
        </w:tc>
        <w:tc>
          <w:tcPr>
            <w:tcW w:w="3601" w:type="dxa"/>
            <w:noWrap w:val="0"/>
            <w:vAlign w:val="center"/>
          </w:tcPr>
          <w:p w14:paraId="52793E2E">
            <w:pPr>
              <w:rPr>
                <w:rFonts w:eastAsia="仿宋_GB2312"/>
                <w:sz w:val="24"/>
              </w:rPr>
            </w:pPr>
            <w:r>
              <w:rPr>
                <w:rFonts w:eastAsia="仿宋_GB2312"/>
                <w:sz w:val="24"/>
              </w:rPr>
              <w:t>对供应商定期审核X23</w:t>
            </w:r>
          </w:p>
        </w:tc>
        <w:tc>
          <w:tcPr>
            <w:tcW w:w="719" w:type="dxa"/>
            <w:noWrap w:val="0"/>
            <w:vAlign w:val="center"/>
          </w:tcPr>
          <w:p w14:paraId="00B74513">
            <w:pPr>
              <w:jc w:val="center"/>
              <w:rPr>
                <w:rFonts w:eastAsia="仿宋_GB2312"/>
                <w:sz w:val="24"/>
              </w:rPr>
            </w:pPr>
            <w:r>
              <w:rPr>
                <w:rFonts w:eastAsia="仿宋_GB2312"/>
                <w:sz w:val="24"/>
              </w:rPr>
              <w:t>-</w:t>
            </w:r>
          </w:p>
        </w:tc>
        <w:tc>
          <w:tcPr>
            <w:tcW w:w="840" w:type="dxa"/>
            <w:noWrap w:val="0"/>
            <w:vAlign w:val="center"/>
          </w:tcPr>
          <w:p w14:paraId="34898849">
            <w:pPr>
              <w:jc w:val="center"/>
              <w:rPr>
                <w:rFonts w:eastAsia="仿宋_GB2312"/>
                <w:sz w:val="24"/>
              </w:rPr>
            </w:pPr>
            <w:r>
              <w:rPr>
                <w:rFonts w:eastAsia="仿宋_GB2312"/>
                <w:sz w:val="24"/>
              </w:rPr>
              <w:t>3</w:t>
            </w:r>
          </w:p>
        </w:tc>
        <w:tc>
          <w:tcPr>
            <w:tcW w:w="1454" w:type="dxa"/>
            <w:noWrap w:val="0"/>
            <w:vAlign w:val="center"/>
          </w:tcPr>
          <w:p w14:paraId="55A5E840">
            <w:pPr>
              <w:jc w:val="center"/>
              <w:rPr>
                <w:rFonts w:eastAsia="仿宋_GB2312"/>
                <w:sz w:val="24"/>
              </w:rPr>
            </w:pPr>
            <w:r>
              <w:rPr>
                <w:rFonts w:eastAsia="仿宋_GB2312"/>
                <w:sz w:val="24"/>
              </w:rPr>
              <w:t>定性</w:t>
            </w:r>
          </w:p>
        </w:tc>
      </w:tr>
      <w:tr w14:paraId="2D4B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53853957">
            <w:pPr>
              <w:rPr>
                <w:rFonts w:eastAsia="仿宋_GB2312"/>
                <w:sz w:val="24"/>
              </w:rPr>
            </w:pPr>
          </w:p>
        </w:tc>
        <w:tc>
          <w:tcPr>
            <w:tcW w:w="728" w:type="dxa"/>
            <w:noWrap w:val="0"/>
            <w:vAlign w:val="top"/>
          </w:tcPr>
          <w:p w14:paraId="55FE98DC">
            <w:pPr>
              <w:jc w:val="center"/>
              <w:rPr>
                <w:rFonts w:eastAsia="仿宋_GB2312"/>
                <w:sz w:val="24"/>
              </w:rPr>
            </w:pPr>
            <w:r>
              <w:rPr>
                <w:rFonts w:eastAsia="仿宋_GB2312"/>
                <w:sz w:val="24"/>
              </w:rPr>
              <w:t>7</w:t>
            </w:r>
          </w:p>
        </w:tc>
        <w:tc>
          <w:tcPr>
            <w:tcW w:w="3601" w:type="dxa"/>
            <w:noWrap w:val="0"/>
            <w:vAlign w:val="center"/>
          </w:tcPr>
          <w:p w14:paraId="0129472E">
            <w:pPr>
              <w:rPr>
                <w:rFonts w:eastAsia="仿宋_GB2312"/>
                <w:sz w:val="24"/>
              </w:rPr>
            </w:pPr>
            <w:r>
              <w:rPr>
                <w:rFonts w:eastAsia="仿宋_GB2312"/>
                <w:sz w:val="24"/>
              </w:rPr>
              <w:t>供应商绩效评估制度健全X24</w:t>
            </w:r>
          </w:p>
        </w:tc>
        <w:tc>
          <w:tcPr>
            <w:tcW w:w="719" w:type="dxa"/>
            <w:noWrap w:val="0"/>
            <w:vAlign w:val="center"/>
          </w:tcPr>
          <w:p w14:paraId="3F6E2745">
            <w:pPr>
              <w:jc w:val="center"/>
              <w:rPr>
                <w:rFonts w:eastAsia="仿宋_GB2312"/>
                <w:sz w:val="24"/>
              </w:rPr>
            </w:pPr>
            <w:r>
              <w:rPr>
                <w:rFonts w:eastAsia="仿宋_GB2312"/>
                <w:sz w:val="24"/>
              </w:rPr>
              <w:t>-</w:t>
            </w:r>
          </w:p>
        </w:tc>
        <w:tc>
          <w:tcPr>
            <w:tcW w:w="840" w:type="dxa"/>
            <w:noWrap w:val="0"/>
            <w:vAlign w:val="center"/>
          </w:tcPr>
          <w:p w14:paraId="251ED07B">
            <w:pPr>
              <w:jc w:val="center"/>
              <w:rPr>
                <w:rFonts w:eastAsia="仿宋_GB2312"/>
                <w:sz w:val="24"/>
              </w:rPr>
            </w:pPr>
            <w:r>
              <w:rPr>
                <w:rFonts w:eastAsia="仿宋_GB2312"/>
                <w:sz w:val="24"/>
              </w:rPr>
              <w:t>3</w:t>
            </w:r>
          </w:p>
        </w:tc>
        <w:tc>
          <w:tcPr>
            <w:tcW w:w="1454" w:type="dxa"/>
            <w:noWrap w:val="0"/>
            <w:vAlign w:val="center"/>
          </w:tcPr>
          <w:p w14:paraId="3EDA52D6">
            <w:pPr>
              <w:jc w:val="center"/>
              <w:rPr>
                <w:rFonts w:eastAsia="仿宋_GB2312"/>
                <w:sz w:val="24"/>
              </w:rPr>
            </w:pPr>
            <w:r>
              <w:rPr>
                <w:rFonts w:eastAsia="仿宋_GB2312"/>
                <w:sz w:val="24"/>
              </w:rPr>
              <w:t>定性</w:t>
            </w:r>
          </w:p>
        </w:tc>
      </w:tr>
      <w:tr w14:paraId="12FA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775617E7">
            <w:pPr>
              <w:rPr>
                <w:rFonts w:eastAsia="仿宋_GB2312"/>
                <w:sz w:val="24"/>
              </w:rPr>
            </w:pPr>
          </w:p>
        </w:tc>
        <w:tc>
          <w:tcPr>
            <w:tcW w:w="728" w:type="dxa"/>
            <w:noWrap w:val="0"/>
            <w:vAlign w:val="top"/>
          </w:tcPr>
          <w:p w14:paraId="2C40982A">
            <w:pPr>
              <w:jc w:val="center"/>
              <w:rPr>
                <w:rFonts w:eastAsia="仿宋_GB2312"/>
                <w:sz w:val="24"/>
              </w:rPr>
            </w:pPr>
            <w:r>
              <w:rPr>
                <w:rFonts w:eastAsia="仿宋_GB2312"/>
                <w:sz w:val="24"/>
              </w:rPr>
              <w:t>8</w:t>
            </w:r>
          </w:p>
        </w:tc>
        <w:tc>
          <w:tcPr>
            <w:tcW w:w="3601" w:type="dxa"/>
            <w:noWrap w:val="0"/>
            <w:vAlign w:val="center"/>
          </w:tcPr>
          <w:p w14:paraId="3F7E5658">
            <w:pPr>
              <w:rPr>
                <w:rFonts w:eastAsia="仿宋_GB2312"/>
                <w:sz w:val="24"/>
              </w:rPr>
            </w:pPr>
            <w:r>
              <w:rPr>
                <w:rFonts w:eastAsia="仿宋_GB2312"/>
                <w:sz w:val="24"/>
              </w:rPr>
              <w:t>定期对供应商进行培训X25</w:t>
            </w:r>
          </w:p>
        </w:tc>
        <w:tc>
          <w:tcPr>
            <w:tcW w:w="719" w:type="dxa"/>
            <w:noWrap w:val="0"/>
            <w:vAlign w:val="center"/>
          </w:tcPr>
          <w:p w14:paraId="3B7E3C62">
            <w:pPr>
              <w:jc w:val="center"/>
              <w:rPr>
                <w:rFonts w:eastAsia="仿宋_GB2312"/>
                <w:sz w:val="24"/>
              </w:rPr>
            </w:pPr>
            <w:r>
              <w:rPr>
                <w:rFonts w:eastAsia="仿宋_GB2312"/>
                <w:sz w:val="24"/>
              </w:rPr>
              <w:t>-</w:t>
            </w:r>
          </w:p>
        </w:tc>
        <w:tc>
          <w:tcPr>
            <w:tcW w:w="840" w:type="dxa"/>
            <w:noWrap w:val="0"/>
            <w:vAlign w:val="center"/>
          </w:tcPr>
          <w:p w14:paraId="3D07830B">
            <w:pPr>
              <w:jc w:val="center"/>
              <w:rPr>
                <w:rFonts w:eastAsia="仿宋_GB2312"/>
                <w:sz w:val="24"/>
              </w:rPr>
            </w:pPr>
            <w:r>
              <w:rPr>
                <w:rFonts w:eastAsia="仿宋_GB2312"/>
                <w:sz w:val="24"/>
              </w:rPr>
              <w:t>3</w:t>
            </w:r>
          </w:p>
        </w:tc>
        <w:tc>
          <w:tcPr>
            <w:tcW w:w="1454" w:type="dxa"/>
            <w:noWrap w:val="0"/>
            <w:vAlign w:val="center"/>
          </w:tcPr>
          <w:p w14:paraId="7FA84DE3">
            <w:pPr>
              <w:jc w:val="center"/>
              <w:rPr>
                <w:rFonts w:eastAsia="仿宋_GB2312"/>
                <w:sz w:val="24"/>
              </w:rPr>
            </w:pPr>
            <w:r>
              <w:rPr>
                <w:rFonts w:eastAsia="仿宋_GB2312"/>
                <w:sz w:val="24"/>
              </w:rPr>
              <w:t>定性</w:t>
            </w:r>
          </w:p>
        </w:tc>
      </w:tr>
      <w:tr w14:paraId="2BFF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546FA11C">
            <w:pPr>
              <w:rPr>
                <w:rFonts w:eastAsia="仿宋_GB2312"/>
                <w:sz w:val="24"/>
              </w:rPr>
            </w:pPr>
          </w:p>
        </w:tc>
        <w:tc>
          <w:tcPr>
            <w:tcW w:w="728" w:type="dxa"/>
            <w:noWrap w:val="0"/>
            <w:vAlign w:val="top"/>
          </w:tcPr>
          <w:p w14:paraId="671C6BB4">
            <w:pPr>
              <w:jc w:val="center"/>
              <w:rPr>
                <w:rFonts w:eastAsia="仿宋_GB2312"/>
                <w:sz w:val="24"/>
              </w:rPr>
            </w:pPr>
            <w:r>
              <w:rPr>
                <w:rFonts w:eastAsia="仿宋_GB2312"/>
                <w:sz w:val="24"/>
              </w:rPr>
              <w:t>9</w:t>
            </w:r>
          </w:p>
        </w:tc>
        <w:tc>
          <w:tcPr>
            <w:tcW w:w="3601" w:type="dxa"/>
            <w:noWrap w:val="0"/>
            <w:vAlign w:val="center"/>
          </w:tcPr>
          <w:p w14:paraId="7E4A2780">
            <w:pPr>
              <w:rPr>
                <w:rFonts w:eastAsia="仿宋_GB2312"/>
                <w:sz w:val="24"/>
              </w:rPr>
            </w:pPr>
            <w:r>
              <w:rPr>
                <w:rFonts w:eastAsia="仿宋_GB2312"/>
                <w:sz w:val="24"/>
              </w:rPr>
              <w:t>低风险供应商占比X26</w:t>
            </w:r>
          </w:p>
        </w:tc>
        <w:tc>
          <w:tcPr>
            <w:tcW w:w="719" w:type="dxa"/>
            <w:noWrap w:val="0"/>
            <w:vAlign w:val="center"/>
          </w:tcPr>
          <w:p w14:paraId="0F52A77A">
            <w:pPr>
              <w:jc w:val="center"/>
              <w:rPr>
                <w:rFonts w:eastAsia="仿宋_GB2312"/>
                <w:sz w:val="24"/>
              </w:rPr>
            </w:pPr>
            <w:r>
              <w:rPr>
                <w:rFonts w:eastAsia="仿宋_GB2312"/>
                <w:sz w:val="24"/>
              </w:rPr>
              <w:t>%</w:t>
            </w:r>
          </w:p>
        </w:tc>
        <w:tc>
          <w:tcPr>
            <w:tcW w:w="840" w:type="dxa"/>
            <w:noWrap w:val="0"/>
            <w:vAlign w:val="center"/>
          </w:tcPr>
          <w:p w14:paraId="401ED585">
            <w:pPr>
              <w:jc w:val="center"/>
              <w:rPr>
                <w:rFonts w:eastAsia="仿宋_GB2312"/>
                <w:sz w:val="24"/>
              </w:rPr>
            </w:pPr>
            <w:r>
              <w:rPr>
                <w:rFonts w:eastAsia="仿宋_GB2312"/>
                <w:sz w:val="24"/>
              </w:rPr>
              <w:t>4</w:t>
            </w:r>
          </w:p>
        </w:tc>
        <w:tc>
          <w:tcPr>
            <w:tcW w:w="1454" w:type="dxa"/>
            <w:noWrap w:val="0"/>
            <w:vAlign w:val="center"/>
          </w:tcPr>
          <w:p w14:paraId="1F9B57BC">
            <w:pPr>
              <w:jc w:val="center"/>
              <w:rPr>
                <w:rFonts w:eastAsia="仿宋_GB2312"/>
                <w:sz w:val="24"/>
              </w:rPr>
            </w:pPr>
            <w:r>
              <w:rPr>
                <w:rFonts w:eastAsia="仿宋_GB2312"/>
                <w:sz w:val="24"/>
              </w:rPr>
              <w:t>定量</w:t>
            </w:r>
          </w:p>
        </w:tc>
      </w:tr>
      <w:tr w14:paraId="2EFD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14:paraId="0CB72D1A">
            <w:pPr>
              <w:jc w:val="center"/>
              <w:rPr>
                <w:rFonts w:eastAsia="仿宋_GB2312"/>
                <w:sz w:val="24"/>
              </w:rPr>
            </w:pPr>
            <w:r>
              <w:rPr>
                <w:rFonts w:eastAsia="仿宋_GB2312"/>
                <w:sz w:val="24"/>
              </w:rPr>
              <w:t>绿色生产X3</w:t>
            </w:r>
          </w:p>
        </w:tc>
        <w:tc>
          <w:tcPr>
            <w:tcW w:w="728" w:type="dxa"/>
            <w:noWrap w:val="0"/>
            <w:vAlign w:val="top"/>
          </w:tcPr>
          <w:p w14:paraId="418EB413">
            <w:pPr>
              <w:jc w:val="center"/>
              <w:rPr>
                <w:rFonts w:eastAsia="仿宋_GB2312"/>
                <w:sz w:val="24"/>
              </w:rPr>
            </w:pPr>
            <w:r>
              <w:rPr>
                <w:rFonts w:eastAsia="仿宋_GB2312"/>
                <w:sz w:val="24"/>
              </w:rPr>
              <w:t>10</w:t>
            </w:r>
          </w:p>
        </w:tc>
        <w:tc>
          <w:tcPr>
            <w:tcW w:w="3601" w:type="dxa"/>
            <w:noWrap w:val="0"/>
            <w:vAlign w:val="center"/>
          </w:tcPr>
          <w:p w14:paraId="58F84C09">
            <w:pPr>
              <w:rPr>
                <w:rFonts w:eastAsia="仿宋_GB2312"/>
                <w:sz w:val="24"/>
              </w:rPr>
            </w:pPr>
            <w:r>
              <w:rPr>
                <w:rFonts w:eastAsia="仿宋_GB2312"/>
                <w:sz w:val="24"/>
              </w:rPr>
              <w:t>节能减排环保合规X31</w:t>
            </w:r>
          </w:p>
        </w:tc>
        <w:tc>
          <w:tcPr>
            <w:tcW w:w="719" w:type="dxa"/>
            <w:noWrap w:val="0"/>
            <w:vAlign w:val="center"/>
          </w:tcPr>
          <w:p w14:paraId="0770A5E0">
            <w:pPr>
              <w:jc w:val="center"/>
              <w:rPr>
                <w:rFonts w:eastAsia="仿宋_GB2312"/>
                <w:sz w:val="24"/>
              </w:rPr>
            </w:pPr>
          </w:p>
        </w:tc>
        <w:tc>
          <w:tcPr>
            <w:tcW w:w="840" w:type="dxa"/>
            <w:noWrap w:val="0"/>
            <w:vAlign w:val="center"/>
          </w:tcPr>
          <w:p w14:paraId="75BE14DF">
            <w:pPr>
              <w:jc w:val="center"/>
              <w:rPr>
                <w:rFonts w:eastAsia="仿宋_GB2312"/>
                <w:sz w:val="24"/>
              </w:rPr>
            </w:pPr>
            <w:r>
              <w:rPr>
                <w:rFonts w:eastAsia="仿宋_GB2312"/>
                <w:sz w:val="24"/>
              </w:rPr>
              <w:t>10</w:t>
            </w:r>
          </w:p>
        </w:tc>
        <w:tc>
          <w:tcPr>
            <w:tcW w:w="1454" w:type="dxa"/>
            <w:noWrap w:val="0"/>
            <w:vAlign w:val="center"/>
          </w:tcPr>
          <w:p w14:paraId="086F137D">
            <w:pPr>
              <w:jc w:val="center"/>
              <w:rPr>
                <w:rFonts w:eastAsia="仿宋_GB2312"/>
                <w:sz w:val="24"/>
              </w:rPr>
            </w:pPr>
            <w:r>
              <w:rPr>
                <w:rFonts w:eastAsia="仿宋_GB2312"/>
                <w:sz w:val="24"/>
              </w:rPr>
              <w:t>定性</w:t>
            </w:r>
          </w:p>
        </w:tc>
      </w:tr>
      <w:tr w14:paraId="0354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0" w:type="dxa"/>
            <w:vMerge w:val="continue"/>
            <w:noWrap w:val="0"/>
            <w:vAlign w:val="center"/>
          </w:tcPr>
          <w:p w14:paraId="7BC117DB">
            <w:pPr>
              <w:rPr>
                <w:rFonts w:eastAsia="仿宋_GB2312"/>
                <w:sz w:val="24"/>
              </w:rPr>
            </w:pPr>
          </w:p>
        </w:tc>
        <w:tc>
          <w:tcPr>
            <w:tcW w:w="728" w:type="dxa"/>
            <w:noWrap w:val="0"/>
            <w:vAlign w:val="center"/>
          </w:tcPr>
          <w:p w14:paraId="22C46E48">
            <w:pPr>
              <w:jc w:val="center"/>
              <w:rPr>
                <w:rFonts w:eastAsia="仿宋_GB2312"/>
                <w:sz w:val="24"/>
              </w:rPr>
            </w:pPr>
            <w:r>
              <w:rPr>
                <w:rFonts w:eastAsia="仿宋_GB2312"/>
                <w:sz w:val="24"/>
              </w:rPr>
              <w:t>11</w:t>
            </w:r>
          </w:p>
        </w:tc>
        <w:tc>
          <w:tcPr>
            <w:tcW w:w="3601" w:type="dxa"/>
            <w:noWrap w:val="0"/>
            <w:vAlign w:val="center"/>
          </w:tcPr>
          <w:p w14:paraId="58CE5A9F">
            <w:pPr>
              <w:rPr>
                <w:rFonts w:eastAsia="仿宋_GB2312"/>
                <w:sz w:val="24"/>
              </w:rPr>
            </w:pPr>
            <w:r>
              <w:rPr>
                <w:rFonts w:eastAsia="仿宋_GB2312"/>
                <w:sz w:val="24"/>
              </w:rPr>
              <w:t>符合有害物质限制使用管理办法X32</w:t>
            </w:r>
          </w:p>
        </w:tc>
        <w:tc>
          <w:tcPr>
            <w:tcW w:w="719" w:type="dxa"/>
            <w:noWrap w:val="0"/>
            <w:vAlign w:val="center"/>
          </w:tcPr>
          <w:p w14:paraId="6CDFF19A">
            <w:pPr>
              <w:jc w:val="center"/>
              <w:rPr>
                <w:rFonts w:eastAsia="仿宋_GB2312"/>
                <w:sz w:val="24"/>
              </w:rPr>
            </w:pPr>
            <w:r>
              <w:rPr>
                <w:rFonts w:eastAsia="仿宋_GB2312"/>
                <w:sz w:val="24"/>
              </w:rPr>
              <w:t>-</w:t>
            </w:r>
          </w:p>
        </w:tc>
        <w:tc>
          <w:tcPr>
            <w:tcW w:w="840" w:type="dxa"/>
            <w:noWrap w:val="0"/>
            <w:vAlign w:val="center"/>
          </w:tcPr>
          <w:p w14:paraId="5A175EB4">
            <w:pPr>
              <w:jc w:val="center"/>
              <w:rPr>
                <w:rFonts w:eastAsia="仿宋_GB2312"/>
                <w:sz w:val="24"/>
              </w:rPr>
            </w:pPr>
            <w:r>
              <w:rPr>
                <w:rFonts w:eastAsia="仿宋_GB2312"/>
                <w:sz w:val="24"/>
              </w:rPr>
              <w:t>10</w:t>
            </w:r>
          </w:p>
        </w:tc>
        <w:tc>
          <w:tcPr>
            <w:tcW w:w="1454" w:type="dxa"/>
            <w:noWrap w:val="0"/>
            <w:vAlign w:val="center"/>
          </w:tcPr>
          <w:p w14:paraId="21CD2E37">
            <w:pPr>
              <w:jc w:val="center"/>
              <w:rPr>
                <w:rFonts w:eastAsia="仿宋_GB2312"/>
                <w:sz w:val="24"/>
              </w:rPr>
            </w:pPr>
            <w:r>
              <w:rPr>
                <w:rFonts w:eastAsia="仿宋_GB2312"/>
                <w:sz w:val="24"/>
              </w:rPr>
              <w:t>定性</w:t>
            </w:r>
          </w:p>
        </w:tc>
      </w:tr>
      <w:tr w14:paraId="380B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14:paraId="21C01EB5">
            <w:pPr>
              <w:jc w:val="center"/>
              <w:rPr>
                <w:rFonts w:eastAsia="仿宋_GB2312"/>
                <w:sz w:val="24"/>
              </w:rPr>
            </w:pPr>
            <w:r>
              <w:rPr>
                <w:rFonts w:eastAsia="仿宋_GB2312"/>
                <w:sz w:val="24"/>
              </w:rPr>
              <w:t>绿色回收X4</w:t>
            </w:r>
          </w:p>
        </w:tc>
        <w:tc>
          <w:tcPr>
            <w:tcW w:w="728" w:type="dxa"/>
            <w:noWrap w:val="0"/>
            <w:vAlign w:val="center"/>
          </w:tcPr>
          <w:p w14:paraId="19611CA7">
            <w:pPr>
              <w:jc w:val="center"/>
              <w:rPr>
                <w:rFonts w:eastAsia="仿宋_GB2312"/>
                <w:sz w:val="24"/>
              </w:rPr>
            </w:pPr>
            <w:r>
              <w:rPr>
                <w:rFonts w:eastAsia="仿宋_GB2312"/>
                <w:sz w:val="24"/>
              </w:rPr>
              <w:t>12</w:t>
            </w:r>
          </w:p>
        </w:tc>
        <w:tc>
          <w:tcPr>
            <w:tcW w:w="3601" w:type="dxa"/>
            <w:noWrap w:val="0"/>
            <w:vAlign w:val="center"/>
          </w:tcPr>
          <w:p w14:paraId="46AEA5FA">
            <w:pPr>
              <w:rPr>
                <w:rFonts w:eastAsia="仿宋_GB2312"/>
                <w:sz w:val="24"/>
              </w:rPr>
            </w:pPr>
            <w:r>
              <w:rPr>
                <w:rFonts w:eastAsia="仿宋_GB2312"/>
                <w:sz w:val="24"/>
              </w:rPr>
              <w:t>产品回收率X41</w:t>
            </w:r>
          </w:p>
        </w:tc>
        <w:tc>
          <w:tcPr>
            <w:tcW w:w="719" w:type="dxa"/>
            <w:noWrap w:val="0"/>
            <w:vAlign w:val="center"/>
          </w:tcPr>
          <w:p w14:paraId="184E454D">
            <w:pPr>
              <w:jc w:val="center"/>
              <w:rPr>
                <w:rFonts w:eastAsia="仿宋_GB2312"/>
                <w:sz w:val="24"/>
              </w:rPr>
            </w:pPr>
            <w:r>
              <w:rPr>
                <w:rFonts w:eastAsia="仿宋_GB2312"/>
                <w:sz w:val="24"/>
              </w:rPr>
              <w:t>%</w:t>
            </w:r>
          </w:p>
        </w:tc>
        <w:tc>
          <w:tcPr>
            <w:tcW w:w="840" w:type="dxa"/>
            <w:noWrap w:val="0"/>
            <w:vAlign w:val="center"/>
          </w:tcPr>
          <w:p w14:paraId="7950BADF">
            <w:pPr>
              <w:jc w:val="center"/>
              <w:rPr>
                <w:rFonts w:eastAsia="仿宋_GB2312"/>
                <w:sz w:val="24"/>
              </w:rPr>
            </w:pPr>
            <w:r>
              <w:rPr>
                <w:rFonts w:eastAsia="仿宋_GB2312"/>
                <w:sz w:val="24"/>
              </w:rPr>
              <w:t>5</w:t>
            </w:r>
          </w:p>
        </w:tc>
        <w:tc>
          <w:tcPr>
            <w:tcW w:w="1454" w:type="dxa"/>
            <w:noWrap w:val="0"/>
            <w:vAlign w:val="center"/>
          </w:tcPr>
          <w:p w14:paraId="54C08626">
            <w:pPr>
              <w:jc w:val="center"/>
              <w:rPr>
                <w:rFonts w:eastAsia="仿宋_GB2312"/>
                <w:sz w:val="24"/>
              </w:rPr>
            </w:pPr>
            <w:r>
              <w:rPr>
                <w:rFonts w:eastAsia="仿宋_GB2312"/>
                <w:sz w:val="24"/>
              </w:rPr>
              <w:t>定量</w:t>
            </w:r>
          </w:p>
        </w:tc>
      </w:tr>
      <w:tr w14:paraId="73ED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53351B95">
            <w:pPr>
              <w:jc w:val="center"/>
              <w:rPr>
                <w:rFonts w:eastAsia="仿宋_GB2312"/>
                <w:sz w:val="24"/>
              </w:rPr>
            </w:pPr>
          </w:p>
        </w:tc>
        <w:tc>
          <w:tcPr>
            <w:tcW w:w="728" w:type="dxa"/>
            <w:noWrap w:val="0"/>
            <w:vAlign w:val="center"/>
          </w:tcPr>
          <w:p w14:paraId="3EEE2D33">
            <w:pPr>
              <w:jc w:val="center"/>
              <w:rPr>
                <w:rFonts w:eastAsia="仿宋_GB2312"/>
                <w:sz w:val="24"/>
              </w:rPr>
            </w:pPr>
            <w:r>
              <w:rPr>
                <w:rFonts w:eastAsia="仿宋_GB2312"/>
                <w:sz w:val="24"/>
              </w:rPr>
              <w:t>13</w:t>
            </w:r>
          </w:p>
        </w:tc>
        <w:tc>
          <w:tcPr>
            <w:tcW w:w="3601" w:type="dxa"/>
            <w:noWrap w:val="0"/>
            <w:vAlign w:val="center"/>
          </w:tcPr>
          <w:p w14:paraId="6AA4EC01">
            <w:pPr>
              <w:rPr>
                <w:rFonts w:eastAsia="仿宋_GB2312"/>
                <w:sz w:val="24"/>
              </w:rPr>
            </w:pPr>
            <w:r>
              <w:rPr>
                <w:rFonts w:eastAsia="仿宋_GB2312"/>
                <w:sz w:val="24"/>
              </w:rPr>
              <w:t>包装回收率X42</w:t>
            </w:r>
          </w:p>
        </w:tc>
        <w:tc>
          <w:tcPr>
            <w:tcW w:w="719" w:type="dxa"/>
            <w:noWrap w:val="0"/>
            <w:vAlign w:val="center"/>
          </w:tcPr>
          <w:p w14:paraId="2B0F3DB9">
            <w:pPr>
              <w:jc w:val="center"/>
              <w:rPr>
                <w:rFonts w:eastAsia="仿宋_GB2312"/>
                <w:sz w:val="24"/>
              </w:rPr>
            </w:pPr>
            <w:r>
              <w:rPr>
                <w:rFonts w:eastAsia="仿宋_GB2312"/>
                <w:sz w:val="24"/>
              </w:rPr>
              <w:t>%</w:t>
            </w:r>
          </w:p>
        </w:tc>
        <w:tc>
          <w:tcPr>
            <w:tcW w:w="840" w:type="dxa"/>
            <w:noWrap w:val="0"/>
            <w:vAlign w:val="center"/>
          </w:tcPr>
          <w:p w14:paraId="6D397AFB">
            <w:pPr>
              <w:jc w:val="center"/>
              <w:rPr>
                <w:rFonts w:eastAsia="仿宋_GB2312"/>
                <w:sz w:val="24"/>
              </w:rPr>
            </w:pPr>
            <w:r>
              <w:rPr>
                <w:rFonts w:eastAsia="仿宋_GB2312"/>
                <w:sz w:val="24"/>
              </w:rPr>
              <w:t>5</w:t>
            </w:r>
          </w:p>
        </w:tc>
        <w:tc>
          <w:tcPr>
            <w:tcW w:w="1454" w:type="dxa"/>
            <w:noWrap w:val="0"/>
            <w:vAlign w:val="center"/>
          </w:tcPr>
          <w:p w14:paraId="30C42C80">
            <w:pPr>
              <w:jc w:val="center"/>
              <w:rPr>
                <w:rFonts w:eastAsia="仿宋_GB2312"/>
                <w:sz w:val="24"/>
              </w:rPr>
            </w:pPr>
            <w:r>
              <w:rPr>
                <w:rFonts w:eastAsia="仿宋_GB2312"/>
                <w:sz w:val="24"/>
              </w:rPr>
              <w:t>定量</w:t>
            </w:r>
          </w:p>
        </w:tc>
      </w:tr>
      <w:tr w14:paraId="079B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4C41FFCB">
            <w:pPr>
              <w:jc w:val="center"/>
              <w:rPr>
                <w:rFonts w:eastAsia="仿宋_GB2312"/>
                <w:sz w:val="24"/>
              </w:rPr>
            </w:pPr>
          </w:p>
        </w:tc>
        <w:tc>
          <w:tcPr>
            <w:tcW w:w="728" w:type="dxa"/>
            <w:noWrap w:val="0"/>
            <w:vAlign w:val="center"/>
          </w:tcPr>
          <w:p w14:paraId="71F0CF75">
            <w:pPr>
              <w:jc w:val="center"/>
              <w:rPr>
                <w:rFonts w:eastAsia="仿宋_GB2312"/>
                <w:sz w:val="24"/>
              </w:rPr>
            </w:pPr>
            <w:r>
              <w:rPr>
                <w:rFonts w:eastAsia="仿宋_GB2312"/>
                <w:sz w:val="24"/>
              </w:rPr>
              <w:t>14</w:t>
            </w:r>
          </w:p>
        </w:tc>
        <w:tc>
          <w:tcPr>
            <w:tcW w:w="3601" w:type="dxa"/>
            <w:noWrap w:val="0"/>
            <w:vAlign w:val="center"/>
          </w:tcPr>
          <w:p w14:paraId="34BCD040">
            <w:pPr>
              <w:rPr>
                <w:rFonts w:eastAsia="仿宋_GB2312"/>
                <w:sz w:val="24"/>
              </w:rPr>
            </w:pPr>
            <w:r>
              <w:rPr>
                <w:rFonts w:eastAsia="仿宋_GB2312"/>
                <w:sz w:val="24"/>
              </w:rPr>
              <w:t>回收体系完善（含自建、与第三方联合回收）X43</w:t>
            </w:r>
          </w:p>
        </w:tc>
        <w:tc>
          <w:tcPr>
            <w:tcW w:w="719" w:type="dxa"/>
            <w:noWrap w:val="0"/>
            <w:vAlign w:val="center"/>
          </w:tcPr>
          <w:p w14:paraId="3736635B">
            <w:pPr>
              <w:jc w:val="center"/>
              <w:rPr>
                <w:rFonts w:eastAsia="仿宋_GB2312"/>
                <w:sz w:val="24"/>
              </w:rPr>
            </w:pPr>
            <w:r>
              <w:rPr>
                <w:rFonts w:eastAsia="仿宋_GB2312"/>
                <w:sz w:val="24"/>
              </w:rPr>
              <w:t>-</w:t>
            </w:r>
          </w:p>
        </w:tc>
        <w:tc>
          <w:tcPr>
            <w:tcW w:w="840" w:type="dxa"/>
            <w:noWrap w:val="0"/>
            <w:vAlign w:val="center"/>
          </w:tcPr>
          <w:p w14:paraId="56BF5B42">
            <w:pPr>
              <w:jc w:val="center"/>
              <w:rPr>
                <w:rFonts w:eastAsia="仿宋_GB2312"/>
                <w:sz w:val="24"/>
              </w:rPr>
            </w:pPr>
            <w:r>
              <w:rPr>
                <w:rFonts w:eastAsia="仿宋_GB2312"/>
                <w:sz w:val="24"/>
              </w:rPr>
              <w:t>5</w:t>
            </w:r>
          </w:p>
        </w:tc>
        <w:tc>
          <w:tcPr>
            <w:tcW w:w="1454" w:type="dxa"/>
            <w:noWrap w:val="0"/>
            <w:vAlign w:val="center"/>
          </w:tcPr>
          <w:p w14:paraId="15B74B56">
            <w:pPr>
              <w:jc w:val="center"/>
              <w:rPr>
                <w:rFonts w:eastAsia="仿宋_GB2312"/>
                <w:sz w:val="24"/>
              </w:rPr>
            </w:pPr>
            <w:r>
              <w:rPr>
                <w:rFonts w:eastAsia="仿宋_GB2312"/>
                <w:sz w:val="24"/>
              </w:rPr>
              <w:t>定性</w:t>
            </w:r>
          </w:p>
        </w:tc>
      </w:tr>
      <w:tr w14:paraId="5939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0" w:type="dxa"/>
            <w:vMerge w:val="continue"/>
            <w:noWrap w:val="0"/>
            <w:vAlign w:val="center"/>
          </w:tcPr>
          <w:p w14:paraId="4858B7B3">
            <w:pPr>
              <w:jc w:val="center"/>
              <w:rPr>
                <w:rFonts w:eastAsia="仿宋_GB2312"/>
                <w:sz w:val="24"/>
              </w:rPr>
            </w:pPr>
          </w:p>
        </w:tc>
        <w:tc>
          <w:tcPr>
            <w:tcW w:w="728" w:type="dxa"/>
            <w:noWrap w:val="0"/>
            <w:vAlign w:val="center"/>
          </w:tcPr>
          <w:p w14:paraId="2A919F96">
            <w:pPr>
              <w:jc w:val="center"/>
              <w:rPr>
                <w:rFonts w:eastAsia="仿宋_GB2312"/>
                <w:sz w:val="24"/>
              </w:rPr>
            </w:pPr>
            <w:r>
              <w:rPr>
                <w:rFonts w:eastAsia="仿宋_GB2312"/>
                <w:sz w:val="24"/>
              </w:rPr>
              <w:t>15</w:t>
            </w:r>
          </w:p>
        </w:tc>
        <w:tc>
          <w:tcPr>
            <w:tcW w:w="3601" w:type="dxa"/>
            <w:noWrap w:val="0"/>
            <w:vAlign w:val="center"/>
          </w:tcPr>
          <w:p w14:paraId="38728340">
            <w:pPr>
              <w:rPr>
                <w:rFonts w:eastAsia="仿宋_GB2312"/>
                <w:sz w:val="24"/>
              </w:rPr>
            </w:pPr>
            <w:r>
              <w:rPr>
                <w:rFonts w:eastAsia="仿宋_GB2312"/>
                <w:sz w:val="24"/>
              </w:rPr>
              <w:t>指导下游企业回收拆解X44</w:t>
            </w:r>
          </w:p>
        </w:tc>
        <w:tc>
          <w:tcPr>
            <w:tcW w:w="719" w:type="dxa"/>
            <w:noWrap w:val="0"/>
            <w:vAlign w:val="center"/>
          </w:tcPr>
          <w:p w14:paraId="60930E1F">
            <w:pPr>
              <w:jc w:val="center"/>
              <w:rPr>
                <w:rFonts w:eastAsia="仿宋_GB2312"/>
                <w:sz w:val="24"/>
              </w:rPr>
            </w:pPr>
            <w:r>
              <w:rPr>
                <w:rFonts w:eastAsia="仿宋_GB2312"/>
                <w:sz w:val="24"/>
              </w:rPr>
              <w:t>-</w:t>
            </w:r>
          </w:p>
          <w:p w14:paraId="7CFBACEA">
            <w:pPr>
              <w:jc w:val="center"/>
              <w:rPr>
                <w:rFonts w:eastAsia="仿宋_GB2312"/>
                <w:sz w:val="24"/>
              </w:rPr>
            </w:pPr>
          </w:p>
        </w:tc>
        <w:tc>
          <w:tcPr>
            <w:tcW w:w="840" w:type="dxa"/>
            <w:noWrap w:val="0"/>
            <w:vAlign w:val="center"/>
          </w:tcPr>
          <w:p w14:paraId="073820EB">
            <w:pPr>
              <w:jc w:val="center"/>
              <w:rPr>
                <w:rFonts w:eastAsia="仿宋_GB2312"/>
                <w:sz w:val="24"/>
              </w:rPr>
            </w:pPr>
            <w:r>
              <w:rPr>
                <w:rFonts w:eastAsia="仿宋_GB2312"/>
                <w:sz w:val="24"/>
              </w:rPr>
              <w:t>5</w:t>
            </w:r>
          </w:p>
        </w:tc>
        <w:tc>
          <w:tcPr>
            <w:tcW w:w="1454" w:type="dxa"/>
            <w:noWrap w:val="0"/>
            <w:vAlign w:val="center"/>
          </w:tcPr>
          <w:p w14:paraId="54482BE0">
            <w:pPr>
              <w:jc w:val="center"/>
              <w:rPr>
                <w:rFonts w:eastAsia="仿宋_GB2312"/>
                <w:sz w:val="24"/>
              </w:rPr>
            </w:pPr>
            <w:r>
              <w:rPr>
                <w:rFonts w:eastAsia="仿宋_GB2312"/>
                <w:sz w:val="24"/>
              </w:rPr>
              <w:t>定性</w:t>
            </w:r>
          </w:p>
        </w:tc>
      </w:tr>
      <w:tr w14:paraId="7984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noWrap w:val="0"/>
            <w:vAlign w:val="center"/>
          </w:tcPr>
          <w:p w14:paraId="113099BB">
            <w:pPr>
              <w:jc w:val="center"/>
              <w:rPr>
                <w:rFonts w:eastAsia="仿宋_GB2312"/>
                <w:sz w:val="24"/>
              </w:rPr>
            </w:pPr>
            <w:r>
              <w:rPr>
                <w:rFonts w:eastAsia="仿宋_GB2312"/>
                <w:sz w:val="24"/>
              </w:rPr>
              <w:t>绿色信息平台建设X5</w:t>
            </w:r>
          </w:p>
        </w:tc>
        <w:tc>
          <w:tcPr>
            <w:tcW w:w="728" w:type="dxa"/>
            <w:noWrap w:val="0"/>
            <w:vAlign w:val="center"/>
          </w:tcPr>
          <w:p w14:paraId="46EFFBC9">
            <w:pPr>
              <w:jc w:val="center"/>
              <w:rPr>
                <w:rFonts w:eastAsia="仿宋_GB2312"/>
                <w:sz w:val="24"/>
              </w:rPr>
            </w:pPr>
            <w:r>
              <w:rPr>
                <w:rFonts w:eastAsia="仿宋_GB2312"/>
                <w:sz w:val="24"/>
              </w:rPr>
              <w:t>16</w:t>
            </w:r>
          </w:p>
        </w:tc>
        <w:tc>
          <w:tcPr>
            <w:tcW w:w="3601" w:type="dxa"/>
            <w:noWrap w:val="0"/>
            <w:vAlign w:val="center"/>
          </w:tcPr>
          <w:p w14:paraId="7276D41A">
            <w:pPr>
              <w:rPr>
                <w:rFonts w:eastAsia="仿宋_GB2312"/>
                <w:sz w:val="24"/>
              </w:rPr>
            </w:pPr>
            <w:r>
              <w:rPr>
                <w:rFonts w:eastAsia="仿宋_GB2312"/>
                <w:sz w:val="24"/>
              </w:rPr>
              <w:t>绿色供应链管理信息平台完善X51</w:t>
            </w:r>
          </w:p>
        </w:tc>
        <w:tc>
          <w:tcPr>
            <w:tcW w:w="719" w:type="dxa"/>
            <w:noWrap w:val="0"/>
            <w:vAlign w:val="center"/>
          </w:tcPr>
          <w:p w14:paraId="50DB905D">
            <w:pPr>
              <w:jc w:val="center"/>
              <w:rPr>
                <w:rFonts w:eastAsia="仿宋_GB2312"/>
                <w:sz w:val="24"/>
              </w:rPr>
            </w:pPr>
            <w:r>
              <w:rPr>
                <w:rFonts w:eastAsia="仿宋_GB2312"/>
                <w:sz w:val="24"/>
              </w:rPr>
              <w:t>-</w:t>
            </w:r>
          </w:p>
        </w:tc>
        <w:tc>
          <w:tcPr>
            <w:tcW w:w="840" w:type="dxa"/>
            <w:noWrap w:val="0"/>
            <w:vAlign w:val="center"/>
          </w:tcPr>
          <w:p w14:paraId="3521EE59">
            <w:pPr>
              <w:jc w:val="center"/>
              <w:rPr>
                <w:rFonts w:eastAsia="仿宋_GB2312"/>
                <w:sz w:val="24"/>
              </w:rPr>
            </w:pPr>
            <w:r>
              <w:rPr>
                <w:rFonts w:eastAsia="仿宋_GB2312"/>
                <w:sz w:val="24"/>
              </w:rPr>
              <w:t>10</w:t>
            </w:r>
          </w:p>
        </w:tc>
        <w:tc>
          <w:tcPr>
            <w:tcW w:w="1454" w:type="dxa"/>
            <w:noWrap w:val="0"/>
            <w:vAlign w:val="center"/>
          </w:tcPr>
          <w:p w14:paraId="3CD013B7">
            <w:pPr>
              <w:jc w:val="center"/>
              <w:rPr>
                <w:rFonts w:eastAsia="仿宋_GB2312"/>
                <w:sz w:val="24"/>
              </w:rPr>
            </w:pPr>
            <w:r>
              <w:rPr>
                <w:rFonts w:eastAsia="仿宋_GB2312"/>
                <w:sz w:val="24"/>
              </w:rPr>
              <w:t>定性</w:t>
            </w:r>
          </w:p>
        </w:tc>
      </w:tr>
      <w:tr w14:paraId="49F6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Merge w:val="restart"/>
            <w:noWrap w:val="0"/>
            <w:vAlign w:val="center"/>
          </w:tcPr>
          <w:p w14:paraId="6FCB7109">
            <w:pPr>
              <w:rPr>
                <w:rFonts w:eastAsia="仿宋_GB2312"/>
                <w:sz w:val="24"/>
              </w:rPr>
            </w:pPr>
            <w:r>
              <w:rPr>
                <w:rFonts w:eastAsia="仿宋_GB2312"/>
                <w:sz w:val="24"/>
              </w:rPr>
              <w:t>绿色信息披露X6</w:t>
            </w:r>
          </w:p>
        </w:tc>
        <w:tc>
          <w:tcPr>
            <w:tcW w:w="728" w:type="dxa"/>
            <w:noWrap w:val="0"/>
            <w:vAlign w:val="center"/>
          </w:tcPr>
          <w:p w14:paraId="36708612">
            <w:pPr>
              <w:jc w:val="center"/>
              <w:rPr>
                <w:rFonts w:eastAsia="仿宋_GB2312"/>
                <w:sz w:val="24"/>
              </w:rPr>
            </w:pPr>
            <w:r>
              <w:rPr>
                <w:rFonts w:eastAsia="仿宋_GB2312"/>
                <w:sz w:val="24"/>
              </w:rPr>
              <w:t>17</w:t>
            </w:r>
          </w:p>
        </w:tc>
        <w:tc>
          <w:tcPr>
            <w:tcW w:w="3601" w:type="dxa"/>
            <w:noWrap w:val="0"/>
            <w:vAlign w:val="center"/>
          </w:tcPr>
          <w:p w14:paraId="6FC78429">
            <w:pPr>
              <w:rPr>
                <w:rFonts w:eastAsia="仿宋_GB2312"/>
                <w:sz w:val="24"/>
              </w:rPr>
            </w:pPr>
            <w:r>
              <w:rPr>
                <w:rFonts w:eastAsia="仿宋_GB2312"/>
                <w:sz w:val="24"/>
              </w:rPr>
              <w:t>披露企业节能减排减碳信息X61</w:t>
            </w:r>
          </w:p>
        </w:tc>
        <w:tc>
          <w:tcPr>
            <w:tcW w:w="719" w:type="dxa"/>
            <w:noWrap w:val="0"/>
            <w:vAlign w:val="center"/>
          </w:tcPr>
          <w:p w14:paraId="5B3DA82C">
            <w:pPr>
              <w:jc w:val="center"/>
              <w:rPr>
                <w:rFonts w:eastAsia="仿宋_GB2312"/>
                <w:sz w:val="24"/>
              </w:rPr>
            </w:pPr>
            <w:r>
              <w:rPr>
                <w:rFonts w:eastAsia="仿宋_GB2312"/>
                <w:sz w:val="24"/>
              </w:rPr>
              <w:t>-</w:t>
            </w:r>
          </w:p>
        </w:tc>
        <w:tc>
          <w:tcPr>
            <w:tcW w:w="840" w:type="dxa"/>
            <w:noWrap w:val="0"/>
            <w:vAlign w:val="center"/>
          </w:tcPr>
          <w:p w14:paraId="0DB02250">
            <w:pPr>
              <w:jc w:val="center"/>
              <w:rPr>
                <w:rFonts w:eastAsia="仿宋_GB2312"/>
                <w:sz w:val="24"/>
              </w:rPr>
            </w:pPr>
            <w:r>
              <w:rPr>
                <w:rFonts w:eastAsia="仿宋_GB2312"/>
                <w:sz w:val="24"/>
              </w:rPr>
              <w:t>2.5</w:t>
            </w:r>
          </w:p>
        </w:tc>
        <w:tc>
          <w:tcPr>
            <w:tcW w:w="1454" w:type="dxa"/>
            <w:noWrap w:val="0"/>
            <w:vAlign w:val="center"/>
          </w:tcPr>
          <w:p w14:paraId="01D586A8">
            <w:pPr>
              <w:jc w:val="center"/>
              <w:rPr>
                <w:rFonts w:eastAsia="仿宋_GB2312"/>
                <w:sz w:val="24"/>
              </w:rPr>
            </w:pPr>
            <w:r>
              <w:rPr>
                <w:rFonts w:eastAsia="仿宋_GB2312"/>
                <w:sz w:val="24"/>
              </w:rPr>
              <w:t>定性</w:t>
            </w:r>
          </w:p>
        </w:tc>
      </w:tr>
      <w:tr w14:paraId="7828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80" w:type="dxa"/>
            <w:vMerge w:val="continue"/>
            <w:noWrap w:val="0"/>
            <w:vAlign w:val="center"/>
          </w:tcPr>
          <w:p w14:paraId="25B03145">
            <w:pPr>
              <w:jc w:val="center"/>
              <w:rPr>
                <w:rFonts w:eastAsia="仿宋_GB2312"/>
                <w:sz w:val="24"/>
              </w:rPr>
            </w:pPr>
          </w:p>
        </w:tc>
        <w:tc>
          <w:tcPr>
            <w:tcW w:w="728" w:type="dxa"/>
            <w:noWrap w:val="0"/>
            <w:vAlign w:val="center"/>
          </w:tcPr>
          <w:p w14:paraId="4074F064">
            <w:pPr>
              <w:jc w:val="center"/>
              <w:rPr>
                <w:rFonts w:eastAsia="仿宋_GB2312"/>
                <w:sz w:val="24"/>
              </w:rPr>
            </w:pPr>
            <w:r>
              <w:rPr>
                <w:rFonts w:eastAsia="仿宋_GB2312"/>
                <w:sz w:val="24"/>
              </w:rPr>
              <w:t>18</w:t>
            </w:r>
          </w:p>
        </w:tc>
        <w:tc>
          <w:tcPr>
            <w:tcW w:w="3601" w:type="dxa"/>
            <w:noWrap w:val="0"/>
            <w:vAlign w:val="center"/>
          </w:tcPr>
          <w:p w14:paraId="17E47AA3">
            <w:pPr>
              <w:rPr>
                <w:rFonts w:eastAsia="仿宋_GB2312"/>
                <w:sz w:val="24"/>
              </w:rPr>
            </w:pPr>
            <w:r>
              <w:rPr>
                <w:rFonts w:eastAsia="仿宋_GB2312"/>
                <w:sz w:val="24"/>
              </w:rPr>
              <w:t>披露高、中风险供应商审核率及低风险供应商占比X62</w:t>
            </w:r>
          </w:p>
        </w:tc>
        <w:tc>
          <w:tcPr>
            <w:tcW w:w="719" w:type="dxa"/>
            <w:noWrap w:val="0"/>
            <w:vAlign w:val="center"/>
          </w:tcPr>
          <w:p w14:paraId="3C2721EE">
            <w:pPr>
              <w:jc w:val="center"/>
              <w:rPr>
                <w:rFonts w:eastAsia="仿宋_GB2312"/>
                <w:sz w:val="24"/>
              </w:rPr>
            </w:pPr>
            <w:r>
              <w:rPr>
                <w:rFonts w:eastAsia="仿宋_GB2312"/>
                <w:sz w:val="24"/>
              </w:rPr>
              <w:t>-</w:t>
            </w:r>
          </w:p>
        </w:tc>
        <w:tc>
          <w:tcPr>
            <w:tcW w:w="840" w:type="dxa"/>
            <w:noWrap w:val="0"/>
            <w:vAlign w:val="center"/>
          </w:tcPr>
          <w:p w14:paraId="51E4F992">
            <w:pPr>
              <w:jc w:val="center"/>
              <w:rPr>
                <w:rFonts w:eastAsia="仿宋_GB2312"/>
                <w:sz w:val="24"/>
              </w:rPr>
            </w:pPr>
            <w:r>
              <w:rPr>
                <w:rFonts w:eastAsia="仿宋_GB2312"/>
                <w:sz w:val="24"/>
              </w:rPr>
              <w:t>2.5</w:t>
            </w:r>
          </w:p>
        </w:tc>
        <w:tc>
          <w:tcPr>
            <w:tcW w:w="1454" w:type="dxa"/>
            <w:noWrap w:val="0"/>
            <w:vAlign w:val="center"/>
          </w:tcPr>
          <w:p w14:paraId="255A97C6">
            <w:pPr>
              <w:jc w:val="center"/>
              <w:rPr>
                <w:rFonts w:eastAsia="仿宋_GB2312"/>
                <w:sz w:val="24"/>
              </w:rPr>
            </w:pPr>
            <w:r>
              <w:rPr>
                <w:rFonts w:eastAsia="仿宋_GB2312"/>
                <w:sz w:val="24"/>
              </w:rPr>
              <w:t>定性</w:t>
            </w:r>
          </w:p>
        </w:tc>
      </w:tr>
      <w:tr w14:paraId="75BD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noWrap w:val="0"/>
            <w:vAlign w:val="center"/>
          </w:tcPr>
          <w:p w14:paraId="42CA0164">
            <w:pPr>
              <w:jc w:val="center"/>
              <w:rPr>
                <w:rFonts w:eastAsia="仿宋_GB2312"/>
                <w:sz w:val="24"/>
              </w:rPr>
            </w:pPr>
          </w:p>
        </w:tc>
        <w:tc>
          <w:tcPr>
            <w:tcW w:w="728" w:type="dxa"/>
            <w:noWrap w:val="0"/>
            <w:vAlign w:val="center"/>
          </w:tcPr>
          <w:p w14:paraId="546134B2">
            <w:pPr>
              <w:jc w:val="center"/>
              <w:rPr>
                <w:rFonts w:eastAsia="仿宋_GB2312"/>
                <w:sz w:val="24"/>
              </w:rPr>
            </w:pPr>
            <w:r>
              <w:rPr>
                <w:rFonts w:eastAsia="仿宋_GB2312"/>
                <w:sz w:val="24"/>
              </w:rPr>
              <w:t>19</w:t>
            </w:r>
          </w:p>
        </w:tc>
        <w:tc>
          <w:tcPr>
            <w:tcW w:w="3601" w:type="dxa"/>
            <w:noWrap w:val="0"/>
            <w:vAlign w:val="center"/>
          </w:tcPr>
          <w:p w14:paraId="5EE0AFC2">
            <w:pPr>
              <w:rPr>
                <w:rFonts w:eastAsia="仿宋_GB2312"/>
                <w:sz w:val="24"/>
              </w:rPr>
            </w:pPr>
            <w:r>
              <w:rPr>
                <w:rFonts w:eastAsia="仿宋_GB2312"/>
                <w:sz w:val="24"/>
              </w:rPr>
              <w:t>披露供应商节能减排信息X63</w:t>
            </w:r>
          </w:p>
        </w:tc>
        <w:tc>
          <w:tcPr>
            <w:tcW w:w="719" w:type="dxa"/>
            <w:noWrap w:val="0"/>
            <w:vAlign w:val="center"/>
          </w:tcPr>
          <w:p w14:paraId="44B0F8DD">
            <w:pPr>
              <w:jc w:val="center"/>
              <w:rPr>
                <w:rFonts w:eastAsia="仿宋_GB2312"/>
                <w:sz w:val="24"/>
              </w:rPr>
            </w:pPr>
            <w:r>
              <w:rPr>
                <w:rFonts w:eastAsia="仿宋_GB2312"/>
                <w:sz w:val="24"/>
              </w:rPr>
              <w:t>-</w:t>
            </w:r>
          </w:p>
        </w:tc>
        <w:tc>
          <w:tcPr>
            <w:tcW w:w="840" w:type="dxa"/>
            <w:noWrap w:val="0"/>
            <w:vAlign w:val="center"/>
          </w:tcPr>
          <w:p w14:paraId="6A3BC8A8">
            <w:pPr>
              <w:jc w:val="center"/>
              <w:rPr>
                <w:rFonts w:eastAsia="仿宋_GB2312"/>
                <w:sz w:val="24"/>
              </w:rPr>
            </w:pPr>
            <w:r>
              <w:rPr>
                <w:rFonts w:eastAsia="仿宋_GB2312"/>
                <w:sz w:val="24"/>
              </w:rPr>
              <w:t>2.5</w:t>
            </w:r>
          </w:p>
        </w:tc>
        <w:tc>
          <w:tcPr>
            <w:tcW w:w="1454" w:type="dxa"/>
            <w:noWrap w:val="0"/>
            <w:vAlign w:val="center"/>
          </w:tcPr>
          <w:p w14:paraId="296C9409">
            <w:pPr>
              <w:jc w:val="center"/>
              <w:rPr>
                <w:rFonts w:eastAsia="仿宋_GB2312"/>
                <w:sz w:val="24"/>
              </w:rPr>
            </w:pPr>
            <w:r>
              <w:rPr>
                <w:rFonts w:eastAsia="仿宋_GB2312"/>
                <w:sz w:val="24"/>
              </w:rPr>
              <w:t>定性</w:t>
            </w:r>
          </w:p>
        </w:tc>
      </w:tr>
      <w:tr w14:paraId="406CC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noWrap w:val="0"/>
            <w:vAlign w:val="center"/>
          </w:tcPr>
          <w:p w14:paraId="24818BF7">
            <w:pPr>
              <w:jc w:val="center"/>
              <w:rPr>
                <w:rFonts w:eastAsia="仿宋_GB2312"/>
                <w:sz w:val="24"/>
              </w:rPr>
            </w:pPr>
          </w:p>
        </w:tc>
        <w:tc>
          <w:tcPr>
            <w:tcW w:w="728" w:type="dxa"/>
            <w:noWrap w:val="0"/>
            <w:vAlign w:val="center"/>
          </w:tcPr>
          <w:p w14:paraId="415DE3A9">
            <w:pPr>
              <w:jc w:val="center"/>
              <w:rPr>
                <w:rFonts w:eastAsia="仿宋_GB2312"/>
                <w:sz w:val="24"/>
              </w:rPr>
            </w:pPr>
            <w:r>
              <w:rPr>
                <w:rFonts w:eastAsia="仿宋_GB2312"/>
                <w:sz w:val="24"/>
              </w:rPr>
              <w:t>20</w:t>
            </w:r>
          </w:p>
        </w:tc>
        <w:tc>
          <w:tcPr>
            <w:tcW w:w="3601" w:type="dxa"/>
            <w:noWrap w:val="0"/>
            <w:vAlign w:val="center"/>
          </w:tcPr>
          <w:p w14:paraId="66184821">
            <w:pPr>
              <w:rPr>
                <w:rFonts w:eastAsia="仿宋_GB2312"/>
                <w:sz w:val="24"/>
              </w:rPr>
            </w:pPr>
            <w:r>
              <w:rPr>
                <w:rFonts w:eastAsia="仿宋_GB2312"/>
                <w:sz w:val="24"/>
              </w:rPr>
              <w:t>发布企业社会责任报告（含绿色采购信息）X64</w:t>
            </w:r>
          </w:p>
        </w:tc>
        <w:tc>
          <w:tcPr>
            <w:tcW w:w="719" w:type="dxa"/>
            <w:noWrap w:val="0"/>
            <w:vAlign w:val="center"/>
          </w:tcPr>
          <w:p w14:paraId="54DEFCEA">
            <w:pPr>
              <w:jc w:val="center"/>
              <w:rPr>
                <w:rFonts w:eastAsia="仿宋_GB2312"/>
                <w:sz w:val="24"/>
              </w:rPr>
            </w:pPr>
            <w:r>
              <w:rPr>
                <w:rFonts w:eastAsia="仿宋_GB2312"/>
                <w:sz w:val="24"/>
              </w:rPr>
              <w:t>-</w:t>
            </w:r>
          </w:p>
        </w:tc>
        <w:tc>
          <w:tcPr>
            <w:tcW w:w="840" w:type="dxa"/>
            <w:noWrap w:val="0"/>
            <w:vAlign w:val="center"/>
          </w:tcPr>
          <w:p w14:paraId="30FF8593">
            <w:pPr>
              <w:jc w:val="center"/>
              <w:rPr>
                <w:rFonts w:eastAsia="仿宋_GB2312"/>
                <w:sz w:val="24"/>
              </w:rPr>
            </w:pPr>
            <w:r>
              <w:rPr>
                <w:rFonts w:eastAsia="仿宋_GB2312"/>
                <w:sz w:val="24"/>
              </w:rPr>
              <w:t>2.5</w:t>
            </w:r>
          </w:p>
        </w:tc>
        <w:tc>
          <w:tcPr>
            <w:tcW w:w="1454" w:type="dxa"/>
            <w:noWrap w:val="0"/>
            <w:vAlign w:val="center"/>
          </w:tcPr>
          <w:p w14:paraId="27F75C53">
            <w:pPr>
              <w:jc w:val="center"/>
              <w:rPr>
                <w:rFonts w:eastAsia="仿宋_GB2312"/>
                <w:sz w:val="24"/>
              </w:rPr>
            </w:pPr>
            <w:r>
              <w:rPr>
                <w:rFonts w:eastAsia="仿宋_GB2312"/>
                <w:sz w:val="24"/>
              </w:rPr>
              <w:t>定性</w:t>
            </w:r>
          </w:p>
        </w:tc>
      </w:tr>
    </w:tbl>
    <w:p w14:paraId="416443D9">
      <w:pPr>
        <w:ind w:firstLine="640" w:firstLineChars="200"/>
        <w:rPr>
          <w:rFonts w:ascii="楷体" w:hAnsi="楷体" w:eastAsia="楷体" w:cs="楷体"/>
          <w:sz w:val="32"/>
          <w:szCs w:val="32"/>
        </w:rPr>
      </w:pPr>
      <w:r>
        <w:rPr>
          <w:rFonts w:hint="eastAsia" w:ascii="楷体" w:hAnsi="楷体" w:eastAsia="楷体" w:cs="楷体"/>
          <w:sz w:val="32"/>
          <w:szCs w:val="32"/>
        </w:rPr>
        <w:t>（三）绿色供应链评价指数计算方法</w:t>
      </w:r>
    </w:p>
    <w:p w14:paraId="662BDF1F">
      <w:pPr>
        <w:ind w:firstLine="630"/>
        <w:rPr>
          <w:rFonts w:ascii="仿宋_GB2312" w:eastAsia="仿宋_GB2312"/>
          <w:sz w:val="32"/>
          <w:szCs w:val="32"/>
        </w:rPr>
      </w:pPr>
      <w:r>
        <w:rPr>
          <w:rFonts w:hint="eastAsia" w:ascii="仿宋_GB2312" w:eastAsia="仿宋_GB2312"/>
          <w:sz w:val="32"/>
          <w:szCs w:val="32"/>
        </w:rPr>
        <w:t>企业绿色供应链管理指数的计算公式如下。</w:t>
      </w:r>
    </w:p>
    <w:p w14:paraId="5711AB8F">
      <w:pPr>
        <w:ind w:left="320" w:hanging="320" w:hangingChars="100"/>
        <w:rPr>
          <w:rFonts w:eastAsia="仿宋_GB2312"/>
          <w:position w:val="-30"/>
          <w:sz w:val="32"/>
          <w:szCs w:val="32"/>
        </w:rPr>
      </w:pPr>
      <w:r>
        <w:rPr>
          <w:rFonts w:eastAsia="仿宋_GB2312"/>
          <w:position w:val="-30"/>
          <w:sz w:val="32"/>
          <w:szCs w:val="32"/>
        </w:rPr>
        <w:object>
          <v:shape id="_x0000_i1025" o:spt="75" type="#_x0000_t75" style="height:44.45pt;width:410.1pt;" o:ole="t" filled="f" o:preferrelative="t" stroked="f" coordsize="21600,21600">
            <v:path/>
            <v:fill on="f" focussize="0,0"/>
            <v:stroke on="f"/>
            <v:imagedata r:id="rId5" o:title=""/>
            <o:lock v:ext="edit" aspectratio="t"/>
            <w10:wrap type="none"/>
            <w10:anchorlock/>
          </v:shape>
          <o:OLEObject Type="Embed" ProgID="Equation.3" ShapeID="_x0000_i1025" DrawAspect="Content" ObjectID="_1468075725" r:id="rId4">
            <o:LockedField>false</o:LockedField>
          </o:OLEObject>
        </w:object>
      </w:r>
    </w:p>
    <w:p w14:paraId="35F94266">
      <w:pPr>
        <w:spacing w:line="560" w:lineRule="exact"/>
        <w:ind w:left="320" w:hanging="320" w:hangingChars="100"/>
        <w:rPr>
          <w:rFonts w:ascii="仿宋_GB2312" w:eastAsia="仿宋_GB2312"/>
          <w:sz w:val="32"/>
          <w:szCs w:val="32"/>
        </w:rPr>
      </w:pPr>
      <w:r>
        <w:rPr>
          <w:rFonts w:hint="eastAsia" w:ascii="仿宋_GB2312" w:eastAsia="仿宋_GB2312"/>
          <w:sz w:val="32"/>
          <w:szCs w:val="32"/>
        </w:rPr>
        <w:t>式中</w:t>
      </w:r>
      <w:r>
        <w:rPr>
          <w:rFonts w:ascii="仿宋_GB2312" w:eastAsia="仿宋_GB2312"/>
          <w:sz w:val="32"/>
          <w:szCs w:val="32"/>
        </w:rPr>
        <w:pict>
          <v:shape id="_x0000_s1026" o:spid="_x0000_s1026" o:spt="75" type="#_x0000_t75" style="position:absolute;left:0pt;margin-top:0.3pt;height:17.25pt;width:9pt;mso-position-horizontal:left;mso-wrap-distance-bottom:0pt;mso-wrap-distance-left:9pt;mso-wrap-distance-right:9pt;mso-wrap-distance-top:0pt;z-index:251659264;mso-width-relative:page;mso-height-relative:page;" o:ole="t" filled="f" o:preferrelative="t" stroked="f" coordsize="21600,21600">
            <v:path/>
            <v:fill on="f" focussize="0,0"/>
            <v:stroke on="f"/>
            <v:imagedata r:id="rId7" o:title=""/>
            <o:lock v:ext="edit" aspectratio="t"/>
            <w10:wrap type="square" side="right"/>
          </v:shape>
          <o:OLEObject Type="Embed" ProgID="" ShapeID="_x0000_s1026" DrawAspect="Content" ObjectID="_1468075726" r:id="rId6">
            <o:LockedField>false</o:LockedField>
          </o:OLEObject>
        </w:pict>
      </w:r>
      <w:r>
        <w:rPr>
          <w:rFonts w:hint="eastAsia" w:ascii="仿宋_GB2312" w:eastAsia="仿宋_GB2312"/>
          <w:sz w:val="32"/>
          <w:szCs w:val="32"/>
        </w:rPr>
        <w:t>GSCI为绿色供应链管理指数。</w:t>
      </w:r>
    </w:p>
    <w:p w14:paraId="4B832BB8">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（四）部分指标说明</w:t>
      </w:r>
    </w:p>
    <w:p w14:paraId="26623DFA">
      <w:pPr>
        <w:spacing w:line="560" w:lineRule="exact"/>
        <w:ind w:firstLine="640" w:firstLineChars="200"/>
        <w:rPr>
          <w:rFonts w:eastAsia="仿宋"/>
          <w:sz w:val="32"/>
          <w:szCs w:val="32"/>
        </w:rPr>
      </w:pPr>
      <w:r>
        <w:rPr>
          <w:rFonts w:eastAsia="仿宋"/>
          <w:sz w:val="32"/>
          <w:szCs w:val="32"/>
        </w:rPr>
        <w:t>1、纳入公司发展规划：有明确的绿色供应链管理中长期发展规划、年度目标、指标、实施方案等文件。</w:t>
      </w:r>
    </w:p>
    <w:p w14:paraId="16ED3BC7">
      <w:pPr>
        <w:spacing w:line="560" w:lineRule="exact"/>
        <w:ind w:firstLine="640" w:firstLineChars="200"/>
        <w:rPr>
          <w:rFonts w:eastAsia="仿宋"/>
          <w:sz w:val="32"/>
          <w:szCs w:val="32"/>
        </w:rPr>
      </w:pPr>
      <w:r>
        <w:rPr>
          <w:rFonts w:eastAsia="仿宋"/>
          <w:sz w:val="32"/>
          <w:szCs w:val="32"/>
        </w:rPr>
        <w:t>2、供应商绩效评估制度：建立供应商绩效评估标准，对供应商进行分级评价和管理。</w:t>
      </w:r>
    </w:p>
    <w:p w14:paraId="53484911">
      <w:pPr>
        <w:spacing w:line="560" w:lineRule="exact"/>
        <w:ind w:firstLine="640" w:firstLineChars="200"/>
        <w:rPr>
          <w:rFonts w:eastAsia="仿宋"/>
          <w:sz w:val="32"/>
          <w:szCs w:val="32"/>
        </w:rPr>
      </w:pPr>
      <w:r>
        <w:rPr>
          <w:rFonts w:eastAsia="仿宋"/>
          <w:sz w:val="32"/>
          <w:szCs w:val="32"/>
        </w:rPr>
        <w:t>3、低风险供应商占比的基准值取80%。达到或超过80%得4分，其他分值的计算：比例值/80%*4。</w:t>
      </w:r>
    </w:p>
    <w:p w14:paraId="1B4F05C3">
      <w:pPr>
        <w:spacing w:line="560" w:lineRule="exact"/>
        <w:ind w:firstLine="640" w:firstLineChars="200"/>
        <w:rPr>
          <w:rFonts w:eastAsia="仿宋"/>
          <w:sz w:val="32"/>
          <w:szCs w:val="32"/>
        </w:rPr>
      </w:pPr>
      <w:r>
        <w:rPr>
          <w:rFonts w:eastAsia="仿宋"/>
          <w:sz w:val="32"/>
          <w:szCs w:val="32"/>
        </w:rPr>
        <w:t>4、节能减排环保合规：符合国家和地方有关环境法律和法规，近五年无重大安全、环保、质量事故；配备能源、水源监测设备及污染物监测设备（计量仪器符合GB 17167和GB 24789）。</w:t>
      </w:r>
    </w:p>
    <w:p w14:paraId="1D212BA5">
      <w:pPr>
        <w:spacing w:line="560" w:lineRule="exact"/>
        <w:ind w:firstLine="640" w:firstLineChars="200"/>
        <w:rPr>
          <w:rFonts w:eastAsia="仿宋"/>
          <w:sz w:val="32"/>
          <w:szCs w:val="32"/>
        </w:rPr>
      </w:pPr>
      <w:r>
        <w:rPr>
          <w:rFonts w:eastAsia="仿宋"/>
          <w:sz w:val="32"/>
          <w:szCs w:val="32"/>
        </w:rPr>
        <w:t>5、产品回收率X41的基准值为90%，达到或超过90%得5分，其他分值的计算：比例值/90%*5。</w:t>
      </w:r>
    </w:p>
    <w:p w14:paraId="37D1672A">
      <w:pPr>
        <w:spacing w:line="560" w:lineRule="exact"/>
        <w:ind w:firstLine="640" w:firstLineChars="200"/>
        <w:rPr>
          <w:rFonts w:eastAsia="仿宋"/>
          <w:sz w:val="32"/>
          <w:szCs w:val="32"/>
        </w:rPr>
      </w:pPr>
      <w:r>
        <w:rPr>
          <w:rFonts w:eastAsia="仿宋"/>
          <w:sz w:val="32"/>
          <w:szCs w:val="32"/>
        </w:rPr>
        <w:t>6、包装回收率X42的基准值为80%，达到或超过80%得5分，其他分值的计算：比例值/80%*5。</w:t>
      </w:r>
    </w:p>
    <w:p w14:paraId="464181E7">
      <w:pPr>
        <w:spacing w:line="560" w:lineRule="exact"/>
        <w:ind w:firstLine="640" w:firstLineChars="200"/>
        <w:rPr>
          <w:rFonts w:eastAsia="仿宋"/>
          <w:sz w:val="32"/>
          <w:szCs w:val="32"/>
        </w:rPr>
      </w:pPr>
      <w:r>
        <w:rPr>
          <w:rFonts w:eastAsia="仿宋"/>
          <w:sz w:val="32"/>
          <w:szCs w:val="32"/>
        </w:rPr>
        <w:t>7、指导下游企业回收拆解：具备回收拆解信息管理系统，实现拆解信息的传递及产品的追溯。</w:t>
      </w:r>
    </w:p>
    <w:p w14:paraId="04676E04">
      <w:pPr>
        <w:spacing w:line="560" w:lineRule="exact"/>
        <w:ind w:firstLine="640" w:firstLineChars="200"/>
        <w:rPr>
          <w:rFonts w:eastAsia="仿宋"/>
          <w:sz w:val="32"/>
          <w:szCs w:val="32"/>
        </w:rPr>
      </w:pPr>
      <w:r>
        <w:rPr>
          <w:rFonts w:eastAsia="仿宋"/>
          <w:sz w:val="32"/>
          <w:szCs w:val="32"/>
        </w:rPr>
        <w:t>8、绿色供应链管理信息平台完善：对企业及其供应商产品材质、工艺流程、能源资源消耗、污染物排放等信息进行有效收集与管理。</w:t>
      </w:r>
    </w:p>
    <w:p w14:paraId="2EDA55F6">
      <w:pPr>
        <w:spacing w:line="560" w:lineRule="exact"/>
        <w:ind w:firstLine="640" w:firstLineChars="200"/>
        <w:rPr>
          <w:rFonts w:ascii="仿宋" w:hAnsi="仿宋" w:eastAsia="仿宋" w:cs="仿宋"/>
          <w:sz w:val="32"/>
          <w:szCs w:val="32"/>
        </w:rPr>
      </w:pPr>
      <w:r>
        <w:rPr>
          <w:rFonts w:eastAsia="仿宋"/>
          <w:sz w:val="32"/>
          <w:szCs w:val="32"/>
        </w:rPr>
        <w:t>9、披露企业节能减排减碳信息：具体包括有毒有害物质使用、能源资源利</w:t>
      </w:r>
      <w:r>
        <w:rPr>
          <w:rFonts w:hint="eastAsia" w:ascii="仿宋" w:hAnsi="仿宋" w:eastAsia="仿宋" w:cs="仿宋"/>
          <w:sz w:val="32"/>
          <w:szCs w:val="32"/>
        </w:rPr>
        <w:t>用效率、污染物排放、碳排放减少量、产品回收利用率等信息。</w:t>
      </w:r>
    </w:p>
    <w:p w14:paraId="5686B9D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备注：工信部已发布绿色供应链管理企业创建行业指标体系的应按照行业指标体系进行评价。</w:t>
      </w:r>
    </w:p>
    <w:p w14:paraId="2CDDE0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1F3E1A57"/>
    <w:rsid w:val="1F3E1A57"/>
    <w:rsid w:val="31557407"/>
    <w:rsid w:val="7442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2756</Words>
  <Characters>2883</Characters>
  <Lines>0</Lines>
  <Paragraphs>0</Paragraphs>
  <TotalTime>0</TotalTime>
  <ScaleCrop>false</ScaleCrop>
  <LinksUpToDate>false</LinksUpToDate>
  <CharactersWithSpaces>2887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2024-03-05T09:20:00Z</dcterms:created>
  <dc:creator>晚安</dc:creator>
  <cp:lastModifiedBy>晚安</cp:lastModifiedBy>
  <dcterms:modified xsi:type="dcterms:W3CDTF">2025-03-06T08:17:26Z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0EF69C4579784FE8B95D4CC6995AA193_13</vt:lpwstr>
  </property>
</Properties>
</file>