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1"/>
        </w:numPr>
        <w:bidi w:val="0"/>
        <w:rPr>
          <w:rFonts w:hint="eastAsia"/>
          <w:b/>
        </w:rPr>
      </w:pPr>
      <w:r>
        <w:rPr>
          <w:rFonts w:hint="eastAsia"/>
          <w:b/>
        </w:rPr>
        <w:t>企业基本信息</w:t>
      </w:r>
    </w:p>
    <w:p>
      <w:pPr>
        <w:numPr>
          <w:ilvl w:val="0"/>
          <w:numId w:val="0"/>
        </w:numPr>
        <w:rPr>
          <w:rFonts w:ascii="Helvetica" w:hAnsi="Helvetica" w:eastAsia="Helvetica" w:cs="Helvetica"/>
          <w:b/>
          <w:bCs/>
          <w:i w:val="0"/>
          <w:iCs w:val="0"/>
          <w:caps w:val="0"/>
          <w:color w:val="303133"/>
          <w:spacing w:val="0"/>
          <w:sz w:val="19"/>
          <w:szCs w:val="19"/>
          <w:shd w:val="clear" w:fill="FFFFFF"/>
        </w:rPr>
      </w:pPr>
      <w:r>
        <w:drawing>
          <wp:inline distT="0" distB="0" distL="114300" distR="114300">
            <wp:extent cx="4622800" cy="3095625"/>
            <wp:effectExtent l="0" t="0" r="10160" b="1333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2800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"/>
        <w:gridCol w:w="2423"/>
        <w:gridCol w:w="843"/>
        <w:gridCol w:w="325"/>
        <w:gridCol w:w="1346"/>
        <w:gridCol w:w="694"/>
        <w:gridCol w:w="900"/>
        <w:gridCol w:w="15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1</w:t>
            </w:r>
          </w:p>
        </w:tc>
        <w:tc>
          <w:tcPr>
            <w:tcW w:w="24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kern w:val="0"/>
                <w:sz w:val="14"/>
                <w:szCs w:val="14"/>
                <w:lang w:val="en-US" w:eastAsia="zh-CN" w:bidi="ar"/>
              </w:rPr>
              <w:t>*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企业名称</w:t>
            </w:r>
          </w:p>
        </w:tc>
        <w:tc>
          <w:tcPr>
            <w:tcW w:w="5682" w:type="dxa"/>
            <w:gridSpan w:val="6"/>
          </w:tcPr>
          <w:p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2</w:t>
            </w:r>
          </w:p>
        </w:tc>
        <w:tc>
          <w:tcPr>
            <w:tcW w:w="242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kern w:val="0"/>
                <w:sz w:val="14"/>
                <w:szCs w:val="14"/>
                <w:lang w:val="en-US" w:eastAsia="zh-CN" w:bidi="ar"/>
              </w:rPr>
              <w:t>*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企业类别</w:t>
            </w:r>
          </w:p>
        </w:tc>
        <w:tc>
          <w:tcPr>
            <w:tcW w:w="1168" w:type="dxa"/>
            <w:gridSpan w:val="2"/>
          </w:tcPr>
          <w:p>
            <w:pPr>
              <w:numPr>
                <w:ilvl w:val="0"/>
                <w:numId w:val="0"/>
              </w:numPr>
              <w:rPr>
                <w:rFonts w:hint="default" w:ascii="Helvetica" w:hAnsi="Helvetica" w:eastAsia="宋体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（√）联网工业企业</w:t>
            </w:r>
          </w:p>
        </w:tc>
        <w:tc>
          <w:tcPr>
            <w:tcW w:w="2040" w:type="dxa"/>
            <w:gridSpan w:val="2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平台企业</w:t>
            </w:r>
          </w:p>
        </w:tc>
        <w:tc>
          <w:tcPr>
            <w:tcW w:w="2474" w:type="dxa"/>
            <w:gridSpan w:val="2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（√）标识解析企业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3</w:t>
            </w:r>
          </w:p>
        </w:tc>
        <w:tc>
          <w:tcPr>
            <w:tcW w:w="2423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  <w:lang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kern w:val="0"/>
                <w:sz w:val="14"/>
                <w:szCs w:val="14"/>
                <w:lang w:val="en-US" w:eastAsia="zh-CN" w:bidi="ar"/>
              </w:rPr>
              <w:t>*</w:t>
            </w: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企业地址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（省+市+县/区+街道地址）</w:t>
            </w:r>
          </w:p>
        </w:tc>
        <w:tc>
          <w:tcPr>
            <w:tcW w:w="1168" w:type="dxa"/>
            <w:gridSpan w:val="2"/>
          </w:tcPr>
          <w:p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（省）</w:t>
            </w:r>
          </w:p>
        </w:tc>
        <w:tc>
          <w:tcPr>
            <w:tcW w:w="2040" w:type="dxa"/>
            <w:gridSpan w:val="2"/>
          </w:tcPr>
          <w:p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（市）</w:t>
            </w:r>
          </w:p>
        </w:tc>
        <w:tc>
          <w:tcPr>
            <w:tcW w:w="900" w:type="dxa"/>
          </w:tcPr>
          <w:p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（县/区）</w:t>
            </w:r>
          </w:p>
        </w:tc>
        <w:tc>
          <w:tcPr>
            <w:tcW w:w="1574" w:type="dxa"/>
          </w:tcPr>
          <w:p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（街道地址）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4</w:t>
            </w:r>
          </w:p>
        </w:tc>
        <w:tc>
          <w:tcPr>
            <w:tcW w:w="2423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企业法人</w:t>
            </w:r>
          </w:p>
        </w:tc>
        <w:tc>
          <w:tcPr>
            <w:tcW w:w="1168" w:type="dxa"/>
            <w:gridSpan w:val="2"/>
          </w:tcPr>
          <w:p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  <w:tc>
          <w:tcPr>
            <w:tcW w:w="2040" w:type="dxa"/>
            <w:gridSpan w:val="2"/>
          </w:tcPr>
          <w:p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  <w:tc>
          <w:tcPr>
            <w:tcW w:w="900" w:type="dxa"/>
          </w:tcPr>
          <w:p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  <w:tc>
          <w:tcPr>
            <w:tcW w:w="1574" w:type="dxa"/>
          </w:tcPr>
          <w:p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5</w:t>
            </w:r>
          </w:p>
        </w:tc>
        <w:tc>
          <w:tcPr>
            <w:tcW w:w="2423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网络安全责任部门</w:t>
            </w:r>
          </w:p>
        </w:tc>
        <w:tc>
          <w:tcPr>
            <w:tcW w:w="1168" w:type="dxa"/>
            <w:gridSpan w:val="2"/>
          </w:tcPr>
          <w:p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  <w:tc>
          <w:tcPr>
            <w:tcW w:w="2040" w:type="dxa"/>
            <w:gridSpan w:val="2"/>
          </w:tcPr>
          <w:p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  <w:tc>
          <w:tcPr>
            <w:tcW w:w="900" w:type="dxa"/>
          </w:tcPr>
          <w:p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  <w:tc>
          <w:tcPr>
            <w:tcW w:w="1574" w:type="dxa"/>
          </w:tcPr>
          <w:p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6</w:t>
            </w:r>
          </w:p>
        </w:tc>
        <w:tc>
          <w:tcPr>
            <w:tcW w:w="2423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网络安全责任联系人</w:t>
            </w:r>
          </w:p>
        </w:tc>
        <w:tc>
          <w:tcPr>
            <w:tcW w:w="1168" w:type="dxa"/>
            <w:gridSpan w:val="2"/>
          </w:tcPr>
          <w:p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姓名</w:t>
            </w:r>
          </w:p>
        </w:tc>
        <w:tc>
          <w:tcPr>
            <w:tcW w:w="2040" w:type="dxa"/>
            <w:gridSpan w:val="2"/>
          </w:tcPr>
          <w:p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  <w:tc>
          <w:tcPr>
            <w:tcW w:w="900" w:type="dxa"/>
          </w:tcPr>
          <w:p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职务</w:t>
            </w:r>
          </w:p>
        </w:tc>
        <w:tc>
          <w:tcPr>
            <w:tcW w:w="1574" w:type="dxa"/>
          </w:tcPr>
          <w:p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7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  <w:tc>
          <w:tcPr>
            <w:tcW w:w="1168" w:type="dxa"/>
            <w:gridSpan w:val="2"/>
          </w:tcPr>
          <w:p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联系电话</w:t>
            </w:r>
          </w:p>
        </w:tc>
        <w:tc>
          <w:tcPr>
            <w:tcW w:w="2040" w:type="dxa"/>
            <w:gridSpan w:val="2"/>
          </w:tcPr>
          <w:p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  <w:tc>
          <w:tcPr>
            <w:tcW w:w="900" w:type="dxa"/>
          </w:tcPr>
          <w:p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电子邮件</w:t>
            </w:r>
          </w:p>
        </w:tc>
        <w:tc>
          <w:tcPr>
            <w:tcW w:w="1574" w:type="dxa"/>
          </w:tcPr>
          <w:p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8</w:t>
            </w:r>
          </w:p>
        </w:tc>
        <w:tc>
          <w:tcPr>
            <w:tcW w:w="2423" w:type="dxa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  <w:lang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企业规模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</w:t>
            </w: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>选择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）</w:t>
            </w:r>
          </w:p>
        </w:tc>
        <w:tc>
          <w:tcPr>
            <w:tcW w:w="5682" w:type="dxa"/>
            <w:gridSpan w:val="6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（）规模以上企业</w:t>
            </w: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（）大型企业</w:t>
            </w: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（）中型企业</w:t>
            </w: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（）小型企业</w:t>
            </w:r>
          </w:p>
          <w:p>
            <w:pPr>
              <w:numPr>
                <w:ilvl w:val="0"/>
                <w:numId w:val="0"/>
              </w:numP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（）微型企业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9</w:t>
            </w:r>
          </w:p>
        </w:tc>
        <w:tc>
          <w:tcPr>
            <w:tcW w:w="2423" w:type="dxa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 xml:space="preserve">工业互联网相关业务规模及范围 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 xml:space="preserve">（ </w:t>
            </w: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XXX集团股份有限公司成立于XX年，是中国第一家XXX 企业。公司集XX产品研发、生产、销售和服务为一体，在XX、XX、XX及XX建有XX产品工厂，目前规划XX线XX产品超1380万条、XX线XX产品逾XXX万条、XX产品XX万吨以上的年生产能力，产品畅销欧、美、亚、非等一百多个国家和地区。目前总资产XX亿元，全球雇员超XX人，2020年实现营业收入XX亿元，净利润XX亿元，入库税收总额XX亿元，银行资信等级AA+级，综合实力位居国内XX产品企业第XX位，世界XX产品XX强第XX位。</w:t>
            </w: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 xml:space="preserve">       集团先后承建了“XX科研示范基地”、“XX产品先进XX 国家工程实验室”、“XX国家地方联合工程研究中心”、“国家认定企业技术中心”、“博士科研工作站”获批“国家智能制造试点示范企业”、“国家工业互联网试点示范企业”、“国家大数据产业发展试点示范项目”、“国家物联网集成创新与融合应用示范企业”、“国家服务型制造示范企业”等。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）</w:t>
            </w:r>
          </w:p>
        </w:tc>
        <w:tc>
          <w:tcPr>
            <w:tcW w:w="5682" w:type="dxa"/>
            <w:gridSpan w:val="6"/>
          </w:tcPr>
          <w:p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10</w:t>
            </w:r>
          </w:p>
        </w:tc>
        <w:tc>
          <w:tcPr>
            <w:tcW w:w="2423" w:type="dxa"/>
          </w:tcPr>
          <w:p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工业互联网服务对象及范围（</w:t>
            </w: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 xml:space="preserve"> XX企业主要服务于第二类行业（工业互联网企业网络安全分类分级指南附件中有行业类型），包括机械、汽车、其他运输设备、电子设备制造行业。（可分段介绍主要解决方案）。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）</w:t>
            </w:r>
          </w:p>
        </w:tc>
        <w:tc>
          <w:tcPr>
            <w:tcW w:w="5682" w:type="dxa"/>
            <w:gridSpan w:val="6"/>
          </w:tcPr>
          <w:p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11</w:t>
            </w:r>
          </w:p>
        </w:tc>
        <w:tc>
          <w:tcPr>
            <w:tcW w:w="2423" w:type="dxa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 xml:space="preserve">工业互联网主要用户类型 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ab/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 xml:space="preserve">（ </w:t>
            </w: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XX企业主要用户面向机加工类的生产企业、装备制造厂商以及服务商。</w:t>
            </w: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 xml:space="preserve">      目前，在工厂互联、智能制造、能源管理、立体仓储和自动物流、质检实验室管理、供应链协同、数字化营销、智能产品服务等8个领域提供产品和解决方案，能够满足不同企业的定制化需求，已经沉淀的成熟软件产品和行业解决方案近百套，并集成了ERP、CRM、PLM等主流企业管理软件。</w:t>
            </w: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在智能制造、协同研发、供应链协同、产品智能服务化延伸、产业链垂直行业推广等方面的应用情况∶</w:t>
            </w: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在XX产品制造领域∶对新工厂提供快速复制模式；对已建成工厂提供快速改造；同时对新型卫星工厂运营模式提供全面支撑。</w:t>
            </w: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对于上游供应商，我们将从战略、业务、技术和标准等领域全面对接和紧密协同，目前已经接入XX的供应商有xxxx多家。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）</w:t>
            </w:r>
          </w:p>
        </w:tc>
        <w:tc>
          <w:tcPr>
            <w:tcW w:w="5682" w:type="dxa"/>
            <w:gridSpan w:val="6"/>
          </w:tcPr>
          <w:p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12</w:t>
            </w:r>
          </w:p>
        </w:tc>
        <w:tc>
          <w:tcPr>
            <w:tcW w:w="2423" w:type="dxa"/>
            <w:vMerge w:val="restart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 xml:space="preserve">安全管理制度 （ </w:t>
            </w: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XX集团在信息安全方面已通过ISO27001认证，发布了相对完善的信息安全管理制度，如信息安全管理体系手册、信息安全管理规定、信息安全风险管理规定、信息安全连续性管理规定、信息安全及保密管理规定、终端计算机安全管理规定、软件合规化管理规定等。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）</w:t>
            </w:r>
          </w:p>
        </w:tc>
        <w:tc>
          <w:tcPr>
            <w:tcW w:w="5682" w:type="dxa"/>
            <w:gridSpan w:val="6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eastAsia="zh-CN"/>
              </w:rPr>
              <w:t>（</w:t>
            </w: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  <w:t>补充说明安全管理制度信息</w:t>
            </w: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13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</w:p>
        </w:tc>
        <w:tc>
          <w:tcPr>
            <w:tcW w:w="5682" w:type="dxa"/>
            <w:gridSpan w:val="6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  <w:t>（</w:t>
            </w: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  <w:t>提供相应的安全安全管理制度文件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14</w:t>
            </w:r>
          </w:p>
        </w:tc>
        <w:tc>
          <w:tcPr>
            <w:tcW w:w="2423" w:type="dxa"/>
            <w:vMerge w:val="restart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组织架构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 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444444"/>
                <w:spacing w:val="0"/>
                <w:sz w:val="16"/>
                <w:szCs w:val="16"/>
                <w:shd w:val="clear" w:fill="FFFFFF"/>
              </w:rPr>
              <w:t> </w:t>
            </w:r>
            <w:r>
              <w:rPr>
                <w:rFonts w:hint="default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信息安全小组负责集团及所有工厂的信息安全规划、运维、管理工作，并定期对集团/各工厂的信息安全情况进行评估，实现集团信息安全的统一策划、统一运维、周期审核的管理模式，具有比较完善的信息安全组织架构，分别为集团高管、风控管理、信息安全技术人员，拥有专职人员XX人；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）</w:t>
            </w:r>
          </w:p>
        </w:tc>
        <w:tc>
          <w:tcPr>
            <w:tcW w:w="5682" w:type="dxa"/>
            <w:gridSpan w:val="6"/>
          </w:tcPr>
          <w:p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eastAsia="zh-CN"/>
              </w:rPr>
              <w:t>（</w:t>
            </w: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  <w:t>补充说明组织架构信息</w:t>
            </w: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15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</w:p>
        </w:tc>
        <w:tc>
          <w:tcPr>
            <w:tcW w:w="5682" w:type="dxa"/>
            <w:gridSpan w:val="6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303133"/>
                <w:spacing w:val="0"/>
                <w:sz w:val="19"/>
                <w:szCs w:val="19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  <w:t>（提供相应的组织架构文件）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16</w:t>
            </w:r>
          </w:p>
        </w:tc>
        <w:tc>
          <w:tcPr>
            <w:tcW w:w="2423" w:type="dxa"/>
            <w:vMerge w:val="restart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网络安全物理环境 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</w:t>
            </w:r>
            <w:r>
              <w:rPr>
                <w:rFonts w:hint="default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运行工业互联网的数据中心配置有标准的物理安全环境，如门禁系统、视频监控系统、消防系统、双动力电源接入、温湿度控制系统、环境报警监控系统等，并采用一体化的监控软件进行监控。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）</w:t>
            </w:r>
          </w:p>
        </w:tc>
        <w:tc>
          <w:tcPr>
            <w:tcW w:w="5682" w:type="dxa"/>
            <w:gridSpan w:val="6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  <w:lang w:val="en-US" w:eastAsia="zh-CN"/>
              </w:rPr>
              <w:t>（补充</w:t>
            </w:r>
            <w:r>
              <w:rPr>
                <w:rFonts w:hint="default" w:ascii="Helvetica" w:hAnsi="Helvetica" w:eastAsia="宋体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  <w:lang w:val="en-US" w:eastAsia="zh-CN"/>
              </w:rPr>
              <w:t>网络安全物理环境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  <w:lang w:val="en-US" w:eastAsia="zh-CN"/>
              </w:rPr>
              <w:t>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17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</w:pPr>
          </w:p>
        </w:tc>
        <w:tc>
          <w:tcPr>
            <w:tcW w:w="5682" w:type="dxa"/>
            <w:gridSpan w:val="6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  <w:t>（提供相应的网络安全物理环境信息文件）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18</w:t>
            </w:r>
          </w:p>
        </w:tc>
        <w:tc>
          <w:tcPr>
            <w:tcW w:w="2423" w:type="dxa"/>
            <w:vMerge w:val="restart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 xml:space="preserve">硬件设备的部署情况 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 xml:space="preserve">（  </w:t>
            </w: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XX 集团共有六个厂区，每个厂区拥有XXX多台可网管交换"机，网络按照核心层、汇聚层、接入层进行划分，每个厂区内的各车间采用独立的ylan，并通过三层路由与核心网络进行链接，有效隔离各车间的网络异常，确保网络稳定，并且逻辑上限制生产网络与办公网络的连通，保证网络的安全性。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）</w:t>
            </w:r>
          </w:p>
        </w:tc>
        <w:tc>
          <w:tcPr>
            <w:tcW w:w="5682" w:type="dxa"/>
            <w:gridSpan w:val="6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  <w:t>（补充说明硬件设备的部署情况信息）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19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</w:pPr>
          </w:p>
        </w:tc>
        <w:tc>
          <w:tcPr>
            <w:tcW w:w="5682" w:type="dxa"/>
            <w:gridSpan w:val="6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  <w:t>（提供相应的硬件设备的部署情况信息文件）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20</w:t>
            </w:r>
          </w:p>
        </w:tc>
        <w:tc>
          <w:tcPr>
            <w:tcW w:w="2423" w:type="dxa"/>
            <w:vMerge w:val="restart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  <w:lang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网络拓扑结构 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</w:t>
            </w: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XX集团每个工厂内约运行有XXX个服务器系统，以支撑生产系统的运行，集团总部约有XXX个应用服务器系统，支持各类运营、研发类系统的运行，且服务器均部署在独立的数据中心内，服务器有独立的物理服务器、虚拟化集群、laaS 集群等形式。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）</w:t>
            </w:r>
          </w:p>
        </w:tc>
        <w:tc>
          <w:tcPr>
            <w:tcW w:w="5682" w:type="dxa"/>
            <w:gridSpan w:val="6"/>
          </w:tcPr>
          <w:p>
            <w:pPr>
              <w:numPr>
                <w:ilvl w:val="0"/>
                <w:numId w:val="0"/>
              </w:numPr>
              <w:rPr>
                <w:rFonts w:hint="default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  <w:t>（补充说明网络拓扑结构信息）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21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</w:pPr>
          </w:p>
        </w:tc>
        <w:tc>
          <w:tcPr>
            <w:tcW w:w="5682" w:type="dxa"/>
            <w:gridSpan w:val="6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5"/>
                <w:szCs w:val="15"/>
                <w:shd w:val="clear" w:fill="FFFFFF"/>
                <w:vertAlign w:val="baseline"/>
                <w:lang w:val="en-US" w:eastAsia="zh-CN"/>
              </w:rPr>
              <w:t>（提供网络拓扑结构信息文件）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>
            <w:pPr>
              <w:numPr>
                <w:ilvl w:val="0"/>
                <w:numId w:val="0"/>
              </w:numP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22</w:t>
            </w:r>
          </w:p>
        </w:tc>
        <w:tc>
          <w:tcPr>
            <w:tcW w:w="2423" w:type="dxa"/>
            <w:vMerge w:val="restart"/>
          </w:tcPr>
          <w:p>
            <w:pPr>
              <w:numPr>
                <w:ilvl w:val="0"/>
                <w:numId w:val="0"/>
              </w:numP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网络边界划分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</w:t>
            </w: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 xml:space="preserve"> 公司按照安全等级和功能区域进行分区分域设计，将网络划分为互联网出口区域、广域网区域、内网办公区域、数据中心区域、生产PRD区域、带外管理区。并在各区域针对性的部署了防火墙、IPS入侵防御、流量控制、行为审计、终端安全管控等网络设备，全方位的提升了公司网络安全防护能力。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 xml:space="preserve"> </w:t>
            </w:r>
          </w:p>
        </w:tc>
        <w:tc>
          <w:tcPr>
            <w:tcW w:w="5682" w:type="dxa"/>
            <w:gridSpan w:val="6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>（补充说明网络边界划分信息）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>
            <w:pPr>
              <w:numPr>
                <w:ilvl w:val="0"/>
                <w:numId w:val="0"/>
              </w:numP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23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</w:p>
        </w:tc>
        <w:tc>
          <w:tcPr>
            <w:tcW w:w="5682" w:type="dxa"/>
            <w:gridSpan w:val="6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>（请补充说明网络边界划分文件）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>
            <w:pPr>
              <w:numPr>
                <w:ilvl w:val="0"/>
                <w:numId w:val="0"/>
              </w:numP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24</w:t>
            </w:r>
          </w:p>
        </w:tc>
        <w:tc>
          <w:tcPr>
            <w:tcW w:w="2423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接入IP地址</w:t>
            </w:r>
          </w:p>
        </w:tc>
        <w:tc>
          <w:tcPr>
            <w:tcW w:w="5682" w:type="dxa"/>
            <w:gridSpan w:val="6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object>
                <v:shape id="_x0000_i1025" o:spt="75" type="#_x0000_t75" style="height:15.6pt;width:244.8pt;" o:ole="t" filled="f" o:preferrelative="t" stroked="f" coordsize="21600,21600">
                  <v:path/>
                  <v:fill on="f" focussize="0,0"/>
                  <v:stroke on="f"/>
                  <v:imagedata r:id="rId6" o:title=""/>
                  <o:lock v:ext="edit" aspectratio="t"/>
                  <w10:wrap type="none"/>
                  <w10:anchorlock/>
                </v:shape>
                <o:OLEObject Type="Embed" ProgID="Excel.Sheet.8" ShapeID="_x0000_i1025" DrawAspect="Content" ObjectID="_1468075725" r:id="rId5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>
            <w:pPr>
              <w:numPr>
                <w:ilvl w:val="0"/>
                <w:numId w:val="0"/>
              </w:numP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25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</w:p>
        </w:tc>
        <w:tc>
          <w:tcPr>
            <w:tcW w:w="5682" w:type="dxa"/>
            <w:gridSpan w:val="6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>（在IP地址这个文件中补充个接入IP地址）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>
            <w:pPr>
              <w:numPr>
                <w:ilvl w:val="0"/>
                <w:numId w:val="0"/>
              </w:numP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26</w:t>
            </w:r>
          </w:p>
        </w:tc>
        <w:tc>
          <w:tcPr>
            <w:tcW w:w="2423" w:type="dxa"/>
          </w:tcPr>
          <w:p>
            <w:pPr>
              <w:numPr>
                <w:ilvl w:val="0"/>
                <w:numId w:val="0"/>
              </w:numP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企业在用网站首页地址</w:t>
            </w:r>
          </w:p>
        </w:tc>
        <w:tc>
          <w:tcPr>
            <w:tcW w:w="5682" w:type="dxa"/>
            <w:gridSpan w:val="6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>
            <w:pPr>
              <w:numPr>
                <w:ilvl w:val="0"/>
                <w:numId w:val="0"/>
              </w:numP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27</w:t>
            </w:r>
          </w:p>
        </w:tc>
        <w:tc>
          <w:tcPr>
            <w:tcW w:w="2423" w:type="dxa"/>
          </w:tcPr>
          <w:p>
            <w:pPr>
              <w:numPr>
                <w:ilvl w:val="0"/>
                <w:numId w:val="0"/>
              </w:numP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网络建设情况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ab/>
            </w:r>
          </w:p>
        </w:tc>
        <w:tc>
          <w:tcPr>
            <w:tcW w:w="5682" w:type="dxa"/>
            <w:gridSpan w:val="6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 xml:space="preserve">（）5G </w:t>
            </w: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 xml:space="preserve">（）工业WIFI </w:t>
            </w: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 xml:space="preserve">（）现场总线 </w:t>
            </w: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 xml:space="preserve">（）工业以太网 </w:t>
            </w: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>（）其他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>
            <w:pPr>
              <w:numPr>
                <w:ilvl w:val="0"/>
                <w:numId w:val="0"/>
              </w:numP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28</w:t>
            </w:r>
          </w:p>
        </w:tc>
        <w:tc>
          <w:tcPr>
            <w:tcW w:w="2423" w:type="dxa"/>
          </w:tcPr>
          <w:p>
            <w:pPr>
              <w:numPr>
                <w:ilvl w:val="0"/>
                <w:numId w:val="0"/>
              </w:numP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是否存在网络改造升级需求</w:t>
            </w:r>
          </w:p>
        </w:tc>
        <w:tc>
          <w:tcPr>
            <w:tcW w:w="5682" w:type="dxa"/>
            <w:gridSpan w:val="6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是</w:t>
            </w: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29</w:t>
            </w:r>
          </w:p>
        </w:tc>
        <w:tc>
          <w:tcPr>
            <w:tcW w:w="2423" w:type="dxa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数据存储方式</w:t>
            </w:r>
          </w:p>
        </w:tc>
        <w:tc>
          <w:tcPr>
            <w:tcW w:w="5682" w:type="dxa"/>
            <w:gridSpan w:val="6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公有云</w:t>
            </w: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私有云</w:t>
            </w: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混合云</w:t>
            </w: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本地部署</w:t>
            </w: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30</w:t>
            </w:r>
          </w:p>
        </w:tc>
        <w:tc>
          <w:tcPr>
            <w:tcW w:w="2423" w:type="dxa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信息化建设情况</w:t>
            </w:r>
          </w:p>
        </w:tc>
        <w:tc>
          <w:tcPr>
            <w:tcW w:w="5682" w:type="dxa"/>
            <w:gridSpan w:val="6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已实施ERP、HRM等运营业务系统</w:t>
            </w: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已实施MES、APS等生产业务系统</w:t>
            </w: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已实施WMS等仓储业务系统</w:t>
            </w: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已实施SRM、SCM等供应链管理业务系统</w:t>
            </w: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已实施CRM等销售及售后业务管理系统</w:t>
            </w: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31</w:t>
            </w:r>
          </w:p>
        </w:tc>
        <w:tc>
          <w:tcPr>
            <w:tcW w:w="2423" w:type="dxa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是否对未建设系统存在需求</w:t>
            </w:r>
          </w:p>
        </w:tc>
        <w:tc>
          <w:tcPr>
            <w:tcW w:w="5682" w:type="dxa"/>
            <w:gridSpan w:val="6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是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32</w:t>
            </w:r>
          </w:p>
        </w:tc>
        <w:tc>
          <w:tcPr>
            <w:tcW w:w="2423" w:type="dxa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数字化转型需求</w:t>
            </w:r>
          </w:p>
        </w:tc>
        <w:tc>
          <w:tcPr>
            <w:tcW w:w="5682" w:type="dxa"/>
            <w:gridSpan w:val="6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)数字工厂</w:t>
            </w: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)数字孪生</w:t>
            </w: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)能源管控</w:t>
            </w: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)智慧化工</w:t>
            </w: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)应急管理</w:t>
            </w: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)智慧物流</w:t>
            </w: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)工业质检</w:t>
            </w: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)智慧安防</w:t>
            </w: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33</w:t>
            </w:r>
          </w:p>
        </w:tc>
        <w:tc>
          <w:tcPr>
            <w:tcW w:w="2423" w:type="dxa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IT网络和OT网络是否打通了连接</w:t>
            </w:r>
          </w:p>
        </w:tc>
        <w:tc>
          <w:tcPr>
            <w:tcW w:w="5682" w:type="dxa"/>
            <w:gridSpan w:val="6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是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34</w:t>
            </w:r>
          </w:p>
        </w:tc>
        <w:tc>
          <w:tcPr>
            <w:tcW w:w="2423" w:type="dxa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是否有安全诊断评估需求</w:t>
            </w:r>
          </w:p>
        </w:tc>
        <w:tc>
          <w:tcPr>
            <w:tcW w:w="5682" w:type="dxa"/>
            <w:gridSpan w:val="6"/>
          </w:tcPr>
          <w:p>
            <w:pPr>
              <w:numPr>
                <w:ilvl w:val="0"/>
                <w:numId w:val="0"/>
              </w:numP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是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</w:tcPr>
          <w:p>
            <w:pPr>
              <w:numPr>
                <w:ilvl w:val="0"/>
                <w:numId w:val="0"/>
              </w:numP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35</w:t>
            </w:r>
          </w:p>
        </w:tc>
        <w:tc>
          <w:tcPr>
            <w:tcW w:w="2423" w:type="dxa"/>
            <w:vMerge w:val="restart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网络安全产品使用情况</w:t>
            </w:r>
          </w:p>
        </w:tc>
        <w:tc>
          <w:tcPr>
            <w:tcW w:w="843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网络产品</w:t>
            </w: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路由器</w:t>
            </w:r>
          </w:p>
        </w:tc>
        <w:tc>
          <w:tcPr>
            <w:tcW w:w="3168" w:type="dxa"/>
            <w:gridSpan w:val="3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36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4839" w:type="dxa"/>
            <w:gridSpan w:val="5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)TP-Link普联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)HUAWEI华为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)友讯D-Link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)腾达Tenda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)CISCO思科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)NETGEAR网件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)MI小米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)honor荣耀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)磊科Netcore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37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交换机</w:t>
            </w:r>
          </w:p>
        </w:tc>
        <w:tc>
          <w:tcPr>
            <w:tcW w:w="3168" w:type="dxa"/>
            <w:gridSpan w:val="3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38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4839" w:type="dxa"/>
            <w:gridSpan w:val="5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)TP-Link普联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)HUAWEI华为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)华三(H3C)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)腾达Tenda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)CISCO思科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)NETGEAR网件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)BDCOM博达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)锐捷(Ruijie)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)水星网络MERCURY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39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服务器</w:t>
            </w:r>
          </w:p>
        </w:tc>
        <w:tc>
          <w:tcPr>
            <w:tcW w:w="3168" w:type="dxa"/>
            <w:gridSpan w:val="3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40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4839" w:type="dxa"/>
            <w:gridSpan w:val="5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)IBM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)惠普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)DELL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)SUN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)浪潮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)宝德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)曙光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)华硕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)联想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41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可编程逻辑控制器（PLC设备）</w:t>
            </w:r>
          </w:p>
        </w:tc>
        <w:tc>
          <w:tcPr>
            <w:tcW w:w="3168" w:type="dxa"/>
            <w:gridSpan w:val="3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42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4839" w:type="dxa"/>
            <w:gridSpan w:val="5"/>
          </w:tcPr>
          <w:p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)西门子</w:t>
            </w:r>
          </w:p>
          <w:p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)罗克韦尔自动化</w:t>
            </w:r>
          </w:p>
          <w:p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)三菱电机</w:t>
            </w:r>
          </w:p>
          <w:p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)施耐德电气</w:t>
            </w:r>
          </w:p>
          <w:p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)ABB</w:t>
            </w:r>
          </w:p>
          <w:p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)霍尼韦尔</w:t>
            </w:r>
          </w:p>
          <w:p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)欧姆龙</w:t>
            </w:r>
          </w:p>
          <w:p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)日立工业设备系统</w:t>
            </w:r>
          </w:p>
          <w:p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)IDEC B&amp;R工业自动</w:t>
            </w:r>
          </w:p>
          <w:p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43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其他设备</w:t>
            </w:r>
          </w:p>
        </w:tc>
        <w:tc>
          <w:tcPr>
            <w:tcW w:w="3168" w:type="dxa"/>
            <w:gridSpan w:val="3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44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restart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  <w:p>
            <w:pPr>
              <w:bidi w:val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操作系统</w:t>
            </w: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Windows系统</w:t>
            </w:r>
          </w:p>
        </w:tc>
        <w:tc>
          <w:tcPr>
            <w:tcW w:w="3168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45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Mac系统</w:t>
            </w:r>
          </w:p>
        </w:tc>
        <w:tc>
          <w:tcPr>
            <w:tcW w:w="3168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46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Linux系统</w:t>
            </w:r>
          </w:p>
        </w:tc>
        <w:tc>
          <w:tcPr>
            <w:tcW w:w="3168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47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Chrome OS系统</w:t>
            </w:r>
          </w:p>
        </w:tc>
        <w:tc>
          <w:tcPr>
            <w:tcW w:w="3168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48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UNIX操作系统</w:t>
            </w:r>
          </w:p>
        </w:tc>
        <w:tc>
          <w:tcPr>
            <w:tcW w:w="3168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49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其他</w:t>
            </w:r>
          </w:p>
        </w:tc>
        <w:tc>
          <w:tcPr>
            <w:tcW w:w="3168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>（请输入其他类型系统）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50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restart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  <w:p>
            <w:pPr>
              <w:bidi w:val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数据库</w:t>
            </w: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Oracle数据库</w:t>
            </w:r>
          </w:p>
        </w:tc>
        <w:tc>
          <w:tcPr>
            <w:tcW w:w="3168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51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IBM DB2数据库</w:t>
            </w:r>
          </w:p>
        </w:tc>
        <w:tc>
          <w:tcPr>
            <w:tcW w:w="3168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52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SQL Server数据库</w:t>
            </w:r>
          </w:p>
        </w:tc>
        <w:tc>
          <w:tcPr>
            <w:tcW w:w="3168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53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PostgreSQL数据库</w:t>
            </w:r>
          </w:p>
        </w:tc>
        <w:tc>
          <w:tcPr>
            <w:tcW w:w="3168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54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MySQL数据库</w:t>
            </w:r>
          </w:p>
        </w:tc>
        <w:tc>
          <w:tcPr>
            <w:tcW w:w="3168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55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Sybase数据库</w:t>
            </w:r>
          </w:p>
        </w:tc>
        <w:tc>
          <w:tcPr>
            <w:tcW w:w="3168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56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南大通用GBase 8a数据库</w:t>
            </w:r>
          </w:p>
        </w:tc>
        <w:tc>
          <w:tcPr>
            <w:tcW w:w="3168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57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人大金仓KingbaseES数据库</w:t>
            </w:r>
          </w:p>
        </w:tc>
        <w:tc>
          <w:tcPr>
            <w:tcW w:w="3168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58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达梦数据库(DM)</w:t>
            </w:r>
          </w:p>
        </w:tc>
        <w:tc>
          <w:tcPr>
            <w:tcW w:w="3168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59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OpenBASE数据库</w:t>
            </w:r>
          </w:p>
        </w:tc>
        <w:tc>
          <w:tcPr>
            <w:tcW w:w="3168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60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其他</w:t>
            </w:r>
          </w:p>
        </w:tc>
        <w:tc>
          <w:tcPr>
            <w:tcW w:w="3168" w:type="dxa"/>
            <w:gridSpan w:val="3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>（请输入其他类型数据库）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61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restart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  <w:p>
            <w:pPr>
              <w:bidi w:val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ind w:firstLine="255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IT网络采取的网络安全技术保障</w:t>
            </w: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防火墙(含Web应用防火墙)</w:t>
            </w:r>
          </w:p>
        </w:tc>
        <w:tc>
          <w:tcPr>
            <w:tcW w:w="3168" w:type="dxa"/>
            <w:gridSpan w:val="3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>
            <w:pPr>
              <w:numPr>
                <w:ilvl w:val="0"/>
                <w:numId w:val="0"/>
              </w:numPr>
              <w:tabs>
                <w:tab w:val="left" w:pos="1109"/>
              </w:tabs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62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4839" w:type="dxa"/>
            <w:gridSpan w:val="5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)山石网科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)天融信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)任子行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)深信服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)新华三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)启明星辰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)绿盟科技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)安恒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)华为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( )其他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63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入侵防御/检测</w:t>
            </w:r>
          </w:p>
        </w:tc>
        <w:tc>
          <w:tcPr>
            <w:tcW w:w="3168" w:type="dxa"/>
            <w:gridSpan w:val="3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64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4839" w:type="dxa"/>
            <w:gridSpan w:val="5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)深信服科技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)绿盟科技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)奇安信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)天融信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)山石网科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)亚信安全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)启明星辰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)任子行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)360数字安全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65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堡垒机</w:t>
            </w:r>
          </w:p>
        </w:tc>
        <w:tc>
          <w:tcPr>
            <w:tcW w:w="3168" w:type="dxa"/>
            <w:gridSpan w:val="3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66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4839" w:type="dxa"/>
            <w:gridSpan w:val="5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)联成科技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)360数字安全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)绿盟科技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)四叶草安全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)深信服科技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)奇安信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)启明星辰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)天融信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)安恒信息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67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日志审计</w:t>
            </w:r>
          </w:p>
        </w:tc>
        <w:tc>
          <w:tcPr>
            <w:tcW w:w="3168" w:type="dxa"/>
            <w:gridSpan w:val="3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68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4839" w:type="dxa"/>
            <w:gridSpan w:val="5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)启明星辰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)绿盟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)天融信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)360数字安全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)深信服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)任子行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)安博通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)奇安信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)安恒信息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69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数据安全/数据库安全</w:t>
            </w:r>
          </w:p>
        </w:tc>
        <w:tc>
          <w:tcPr>
            <w:tcW w:w="3168" w:type="dxa"/>
            <w:gridSpan w:val="3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70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4839" w:type="dxa"/>
            <w:gridSpan w:val="5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)安华金和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)绿盟科技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)天融信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)奇安信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)安恒信息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)启明星辰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)深信服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)任子行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)360数字安全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71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态势感知</w:t>
            </w:r>
          </w:p>
        </w:tc>
        <w:tc>
          <w:tcPr>
            <w:tcW w:w="3168" w:type="dxa"/>
            <w:gridSpan w:val="3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72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4839" w:type="dxa"/>
            <w:gridSpan w:val="5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)天融信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)绿盟科技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)360数字安全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)奇安信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)山石网科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)融安网络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)启明星辰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)亚信安全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)深信服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73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restart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  <w:p>
            <w:pPr>
              <w:bidi w:val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rPr>
                <w:rFonts w:hint="eastAsia"/>
                <w:lang w:val="en-US" w:eastAsia="zh-CN"/>
              </w:rPr>
            </w:pPr>
          </w:p>
          <w:p>
            <w:pPr>
              <w:bidi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OT网络采取的网络安全技术保障</w:t>
            </w: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工控网络安全监测系统</w:t>
            </w:r>
          </w:p>
        </w:tc>
        <w:tc>
          <w:tcPr>
            <w:tcW w:w="3168" w:type="dxa"/>
            <w:gridSpan w:val="3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74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4839" w:type="dxa"/>
            <w:gridSpan w:val="5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)威努特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)长扬科技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)启明星辰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)天融信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)奇安信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)绿盟科技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)烽台科技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)六方云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)珞安科技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75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工控数据安全监测系统</w:t>
            </w:r>
          </w:p>
        </w:tc>
        <w:tc>
          <w:tcPr>
            <w:tcW w:w="3168" w:type="dxa"/>
            <w:gridSpan w:val="3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76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4839" w:type="dxa"/>
            <w:gridSpan w:val="5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)威努特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)长扬科技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)启明星辰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)天融信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)奇安信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)绿盟科技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)烽台科技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)六方云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)珞安科技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77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工控安全审计系统</w:t>
            </w:r>
          </w:p>
        </w:tc>
        <w:tc>
          <w:tcPr>
            <w:tcW w:w="3168" w:type="dxa"/>
            <w:gridSpan w:val="3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78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4839" w:type="dxa"/>
            <w:gridSpan w:val="5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)威努特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)长扬科技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)启明星辰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)天融信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)奇安信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)绿盟科技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)烽台科技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)六方云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)珞安科技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79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工业主机卫士</w:t>
            </w:r>
          </w:p>
        </w:tc>
        <w:tc>
          <w:tcPr>
            <w:tcW w:w="3168" w:type="dxa"/>
            <w:gridSpan w:val="3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80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4839" w:type="dxa"/>
            <w:gridSpan w:val="5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)威努特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)长扬科技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)启明星辰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)天融信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)奇安信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)绿盟科技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)烽台科技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)六方云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)珞安科技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81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工业防火墙</w:t>
            </w:r>
          </w:p>
        </w:tc>
        <w:tc>
          <w:tcPr>
            <w:tcW w:w="3168" w:type="dxa"/>
            <w:gridSpan w:val="3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82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4839" w:type="dxa"/>
            <w:gridSpan w:val="5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)威努特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)长扬科技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)启明星辰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)天融信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)奇安信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)绿盟科技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)烽台科技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)六方云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)珞安科技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83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工业安全态势感知平台</w:t>
            </w:r>
          </w:p>
        </w:tc>
        <w:tc>
          <w:tcPr>
            <w:tcW w:w="3168" w:type="dxa"/>
            <w:gridSpan w:val="3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具有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（）不具有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84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4839" w:type="dxa"/>
            <w:gridSpan w:val="5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)威努特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)长扬科技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)启明星辰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)天融信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)奇安信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)绿盟科技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)烽台科技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)六方云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)珞安科技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85</w:t>
            </w:r>
          </w:p>
        </w:tc>
        <w:tc>
          <w:tcPr>
            <w:tcW w:w="242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843" w:type="dxa"/>
            <w:vMerge w:val="continue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</w:p>
        </w:tc>
        <w:tc>
          <w:tcPr>
            <w:tcW w:w="1671" w:type="dxa"/>
            <w:gridSpan w:val="2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其他信息补充</w:t>
            </w:r>
          </w:p>
        </w:tc>
        <w:tc>
          <w:tcPr>
            <w:tcW w:w="3168" w:type="dxa"/>
            <w:gridSpan w:val="3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86</w:t>
            </w:r>
          </w:p>
        </w:tc>
        <w:tc>
          <w:tcPr>
            <w:tcW w:w="2423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针对哪些领域的安全防护能力存在需求</w:t>
            </w:r>
          </w:p>
        </w:tc>
        <w:tc>
          <w:tcPr>
            <w:tcW w:w="5682" w:type="dxa"/>
            <w:gridSpan w:val="6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)数据安全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)网络安全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)平台安全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)工控安全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)设备安全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87</w:t>
            </w:r>
          </w:p>
        </w:tc>
        <w:tc>
          <w:tcPr>
            <w:tcW w:w="2423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近1年来是否遭受过网络攻击或发现了网络安全隐患</w:t>
            </w:r>
          </w:p>
        </w:tc>
        <w:tc>
          <w:tcPr>
            <w:tcW w:w="5682" w:type="dxa"/>
            <w:gridSpan w:val="6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是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88</w:t>
            </w:r>
          </w:p>
        </w:tc>
        <w:tc>
          <w:tcPr>
            <w:tcW w:w="2423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企业面临的主要安全风险</w:t>
            </w:r>
          </w:p>
        </w:tc>
        <w:tc>
          <w:tcPr>
            <w:tcW w:w="5682" w:type="dxa"/>
            <w:gridSpan w:val="6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)挖矿木马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)勒索病毒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)数据泄露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( )其他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7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top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444444"/>
                <w:kern w:val="0"/>
                <w:sz w:val="14"/>
                <w:szCs w:val="14"/>
                <w:u w:val="none"/>
                <w:lang w:val="en-US" w:eastAsia="zh-CN" w:bidi="ar"/>
              </w:rPr>
              <w:t>89</w:t>
            </w:r>
          </w:p>
        </w:tc>
        <w:tc>
          <w:tcPr>
            <w:tcW w:w="2423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是否需要工业互联网相关培训、供需对接活动</w:t>
            </w:r>
          </w:p>
        </w:tc>
        <w:tc>
          <w:tcPr>
            <w:tcW w:w="5682" w:type="dxa"/>
            <w:gridSpan w:val="6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（）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是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（）否</w:t>
            </w:r>
          </w:p>
        </w:tc>
      </w:tr>
    </w:tbl>
    <w:p>
      <w:pPr>
        <w:pStyle w:val="2"/>
        <w:numPr>
          <w:ilvl w:val="0"/>
          <w:numId w:val="1"/>
        </w:numPr>
        <w:bidi w:val="0"/>
      </w:pPr>
      <w:r>
        <w:rPr>
          <w:rFonts w:hint="eastAsia"/>
        </w:rPr>
        <w:t>定级要素1</w:t>
      </w:r>
    </w:p>
    <w:p>
      <w:pPr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444444"/>
          <w:spacing w:val="0"/>
          <w:sz w:val="21"/>
          <w:szCs w:val="21"/>
          <w:shd w:val="clear" w:fill="F5F7FA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444444"/>
          <w:spacing w:val="0"/>
          <w:sz w:val="21"/>
          <w:szCs w:val="21"/>
          <w:shd w:val="clear" w:fill="F5F7FA"/>
        </w:rPr>
        <w:t>联网工业企业所在行业网络安全影响程度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1440"/>
        <w:gridCol w:w="59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0" w:type="dxa"/>
            <w:vMerge w:val="restart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  <w:shd w:val="clear" w:fill="F5F7FA"/>
              </w:rPr>
              <w:t>*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企业所在行业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（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>请至少选择一个行业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）</w:t>
            </w:r>
          </w:p>
        </w:tc>
        <w:tc>
          <w:tcPr>
            <w:tcW w:w="1440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企业属于三类行业</w:t>
            </w:r>
          </w:p>
        </w:tc>
        <w:tc>
          <w:tcPr>
            <w:tcW w:w="596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）煤炭开采和洗选业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）石油和天然气开采业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）黑色金属矿采选业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）有色金属矿采选业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）非金属矿采选业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）开采专业及辅助性活动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）其他采矿业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）石油、煤炭及其他燃料加工业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）化学原料和化学制品制造业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）黑色金属冶炼和压延加工业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）有色金属冶炼和压延加工业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）铁路、船舶、航空航天和其他运输设备制造业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0" w:type="dxa"/>
            <w:vMerge w:val="continue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</w:p>
        </w:tc>
        <w:tc>
          <w:tcPr>
            <w:tcW w:w="1440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企业属于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二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类行业</w:t>
            </w:r>
          </w:p>
        </w:tc>
        <w:tc>
          <w:tcPr>
            <w:tcW w:w="596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）医药制造业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）请至少选择一个行业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）非金属矿物制品业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）金属制品业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）通用设备制造业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）专用设备制造业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）汽车制造业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）计算机、通信和其他电子设备制造业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）电气机械和器材制造业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）仪器仪表制造业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）其他制造业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）废弃资源综合利用业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）金属制品、机械和设备修理业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）电力、热力生产和供应业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）燃气生产和供应业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）水的生产和供应业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0" w:type="dxa"/>
            <w:vMerge w:val="continue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</w:p>
        </w:tc>
        <w:tc>
          <w:tcPr>
            <w:tcW w:w="1440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企业属于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一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类行业</w:t>
            </w:r>
          </w:p>
        </w:tc>
        <w:tc>
          <w:tcPr>
            <w:tcW w:w="596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）农副食品加工业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）食品制造业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）酒、饮料和精制茶制造业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）烟草制品业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）纺织业纺织服装、服饰业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）皮革、毛皮、羽毛及其制品和制鞋业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）木材加工和木、竹、藤、棕、草制品业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）家具制造业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）造纸和纸制品业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）印刷和记录媒介复制业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）文教、工美、体育和娱乐用品制造业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）化学纤维制造业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（ ）橡胶和塑料制品业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0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*自评得分(满分20分)</w:t>
            </w:r>
          </w:p>
        </w:tc>
        <w:tc>
          <w:tcPr>
            <w:tcW w:w="7402" w:type="dxa"/>
            <w:gridSpan w:val="2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（</w:t>
            </w:r>
            <w:r>
              <w:rPr>
                <w:rFonts w:hint="default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</w:rPr>
              <w:t>请输入自评得分</w:t>
            </w:r>
            <w:r>
              <w:rPr>
                <w:rFonts w:hint="eastAsia" w:ascii="Helvetica" w:hAnsi="Helvetica" w:eastAsia="宋体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0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评分规则</w:t>
            </w:r>
          </w:p>
        </w:tc>
        <w:tc>
          <w:tcPr>
            <w:tcW w:w="7402" w:type="dxa"/>
            <w:gridSpan w:val="2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企业属于三类行业:≥18分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企业属于二类行业:≥15，&lt;18分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企业属于一类行业:≥10分，&lt;15分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vertAlign w:val="baseline"/>
              </w:rPr>
              <w:t>注:对于涉及“两重点一重大”的石化化工企业纳入三级企业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FF0000"/>
          <w:spacing w:val="0"/>
          <w:sz w:val="14"/>
          <w:szCs w:val="14"/>
          <w:shd w:val="clear" w:fill="FFFFFF"/>
          <w:lang w:eastAsia="zh-CN"/>
        </w:rPr>
      </w:pPr>
      <w:r>
        <w:rPr>
          <w:rFonts w:ascii="Helvetica" w:hAnsi="Helvetica" w:eastAsia="Helvetica" w:cs="Helvetica"/>
          <w:b/>
          <w:bCs/>
          <w:i w:val="0"/>
          <w:iCs w:val="0"/>
          <w:caps w:val="0"/>
          <w:color w:val="FF0000"/>
          <w:spacing w:val="0"/>
          <w:sz w:val="14"/>
          <w:szCs w:val="14"/>
          <w:shd w:val="clear" w:fill="FFFFFF"/>
        </w:rPr>
        <w:t>工业互联网行业网络安全影响程度分类目录</w:t>
      </w:r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FF0000"/>
          <w:spacing w:val="0"/>
          <w:sz w:val="14"/>
          <w:szCs w:val="14"/>
          <w:shd w:val="clear" w:fill="FFFFFF"/>
          <w:lang w:eastAsia="zh-CN"/>
        </w:rPr>
        <w:t>：</w:t>
      </w:r>
    </w:p>
    <w:p>
      <w:pPr>
        <w:numPr>
          <w:ilvl w:val="0"/>
          <w:numId w:val="0"/>
        </w:numPr>
        <w:jc w:val="left"/>
      </w:pPr>
      <w:r>
        <w:drawing>
          <wp:inline distT="0" distB="0" distL="114300" distR="114300">
            <wp:extent cx="5273675" cy="3173095"/>
            <wp:effectExtent l="0" t="0" r="14605" b="1206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17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1"/>
        </w:numPr>
        <w:bidi w:val="0"/>
        <w:rPr>
          <w:rFonts w:hint="default"/>
          <w:b/>
          <w:lang w:val="en-US" w:eastAsia="zh-CN"/>
        </w:rPr>
      </w:pPr>
      <w:r>
        <w:rPr>
          <w:rFonts w:hint="eastAsia"/>
          <w:b/>
          <w:lang w:val="en-US" w:eastAsia="zh-CN"/>
        </w:rPr>
        <w:t>定级要素2</w:t>
      </w:r>
    </w:p>
    <w:p>
      <w:pPr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444444"/>
          <w:spacing w:val="0"/>
          <w:sz w:val="21"/>
          <w:szCs w:val="21"/>
          <w:shd w:val="clear" w:fill="F5F7FA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444444"/>
          <w:spacing w:val="0"/>
          <w:sz w:val="21"/>
          <w:szCs w:val="21"/>
          <w:shd w:val="clear" w:fill="F5F7FA"/>
        </w:rPr>
        <w:t>企业规模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iCs w:val="0"/>
                <w:caps w:val="0"/>
                <w:color w:val="444444"/>
                <w:spacing w:val="0"/>
                <w:sz w:val="21"/>
                <w:szCs w:val="21"/>
                <w:shd w:val="clear" w:fill="F5F7FA"/>
                <w:vertAlign w:val="baseline"/>
                <w:lang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从业人数</w:t>
            </w:r>
          </w:p>
        </w:tc>
        <w:tc>
          <w:tcPr>
            <w:tcW w:w="5682" w:type="dxa"/>
            <w:gridSpan w:val="2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 ）&lt;300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 ）300~1000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 ）≥1000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iCs w:val="0"/>
                <w:caps w:val="0"/>
                <w:color w:val="444444"/>
                <w:spacing w:val="0"/>
                <w:sz w:val="21"/>
                <w:szCs w:val="21"/>
                <w:shd w:val="clear" w:fill="F5F7FA"/>
                <w:vertAlign w:val="baseline"/>
                <w:lang w:eastAsia="zh-CN"/>
              </w:rPr>
            </w:pP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*从业人数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（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>请输入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</w:rPr>
              <w:t>从业人数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（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>人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）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iCs w:val="0"/>
                <w:caps w:val="0"/>
                <w:color w:val="444444"/>
                <w:spacing w:val="0"/>
                <w:sz w:val="21"/>
                <w:szCs w:val="21"/>
                <w:shd w:val="clear" w:fill="F5F7FA"/>
                <w:vertAlign w:val="baseline"/>
                <w:lang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营业收入</w:t>
            </w:r>
          </w:p>
        </w:tc>
        <w:tc>
          <w:tcPr>
            <w:tcW w:w="5682" w:type="dxa"/>
            <w:gridSpan w:val="2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 ）&lt;2000万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 ）2000万~40000万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（ ）≥40000万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Merge w:val="continue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iCs w:val="0"/>
                <w:caps w:val="0"/>
                <w:color w:val="444444"/>
                <w:spacing w:val="0"/>
                <w:sz w:val="21"/>
                <w:szCs w:val="21"/>
                <w:shd w:val="clear" w:fill="F5F7FA"/>
                <w:vertAlign w:val="baseline"/>
                <w:lang w:eastAsia="zh-CN"/>
              </w:rPr>
            </w:pP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营业收入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eastAsia="zh-CN"/>
              </w:rPr>
              <w:t>（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>请输入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</w:rPr>
              <w:t>营业</w:t>
            </w:r>
            <w:r>
              <w:rPr>
                <w:rFonts w:hint="eastAsia" w:ascii="Helvetica" w:hAnsi="Helvetica" w:eastAsia="宋体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>收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>入（万元人民币））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iCs w:val="0"/>
                <w:caps w:val="0"/>
                <w:color w:val="444444"/>
                <w:spacing w:val="0"/>
                <w:sz w:val="21"/>
                <w:szCs w:val="21"/>
                <w:shd w:val="clear" w:fill="F5F7FA"/>
                <w:vertAlign w:val="baseline"/>
                <w:lang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shd w:val="clear" w:fill="F5F7FA"/>
              </w:rPr>
              <w:t>自评得分(满分20分)</w:t>
            </w:r>
          </w:p>
        </w:tc>
        <w:tc>
          <w:tcPr>
            <w:tcW w:w="5682" w:type="dxa"/>
            <w:gridSpan w:val="2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>（请输入</w:t>
            </w: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>自评得分(满分20分)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shd w:val="clear" w:fill="F5F7FA"/>
                <w:lang w:val="en-US" w:eastAsia="zh-CN"/>
              </w:rPr>
              <w:t>（分））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方正小标宋简体" w:hAnsi="方正小标宋简体" w:eastAsia="方正小标宋简体" w:cs="方正小标宋简体"/>
                <w:b/>
                <w:bCs/>
                <w:i w:val="0"/>
                <w:iCs w:val="0"/>
                <w:caps w:val="0"/>
                <w:color w:val="444444"/>
                <w:spacing w:val="0"/>
                <w:sz w:val="21"/>
                <w:szCs w:val="21"/>
                <w:shd w:val="clear" w:fill="F5F7FA"/>
                <w:vertAlign w:val="baseline"/>
                <w:lang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评分规则</w:t>
            </w:r>
          </w:p>
        </w:tc>
        <w:tc>
          <w:tcPr>
            <w:tcW w:w="5682" w:type="dxa"/>
            <w:gridSpan w:val="2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大型企业:从业人员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≥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1000人;营业收入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≥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240000万元，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≥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18分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中型企业:300人≤从业人员&lt;1000人;2000万元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≤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营业收入&lt;40000万元，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≥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15分，&lt;18分小型企业或小微型企业:从业人员&lt;300人;营业收入&lt;2000万元，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val="en-US" w:eastAsia="zh-CN"/>
              </w:rPr>
              <w:t>≥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  <w:lang w:eastAsia="zh-CN"/>
              </w:rPr>
              <w:t>10分，&lt;15分</w:t>
            </w:r>
          </w:p>
        </w:tc>
      </w:tr>
    </w:tbl>
    <w:p>
      <w:pPr>
        <w:pStyle w:val="2"/>
        <w:numPr>
          <w:ilvl w:val="0"/>
          <w:numId w:val="1"/>
        </w:numPr>
        <w:bidi w:val="0"/>
        <w:rPr>
          <w:rFonts w:hint="default"/>
          <w:b/>
          <w:lang w:val="en-US" w:eastAsia="zh-CN"/>
        </w:rPr>
      </w:pPr>
      <w:r>
        <w:rPr>
          <w:rFonts w:hint="eastAsia"/>
          <w:b/>
          <w:lang w:val="en-US" w:eastAsia="zh-CN"/>
        </w:rPr>
        <w:t>定级要素3</w:t>
      </w:r>
    </w:p>
    <w:p>
      <w:pPr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444444"/>
          <w:spacing w:val="0"/>
          <w:sz w:val="21"/>
          <w:szCs w:val="21"/>
          <w:shd w:val="clear" w:fill="F5F7FA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444444"/>
          <w:spacing w:val="0"/>
          <w:sz w:val="21"/>
          <w:szCs w:val="21"/>
          <w:shd w:val="clear" w:fill="F5F7FA"/>
        </w:rPr>
        <w:t>企业应用工业互联网的程度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3"/>
        <w:gridCol w:w="6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3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</w:rPr>
              <w:t>企业应用的工业互联网与现场重要设备进行控制通信(如AGV、工业机器人、数控机床)</w:t>
            </w:r>
          </w:p>
        </w:tc>
        <w:tc>
          <w:tcPr>
            <w:tcW w:w="6379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 xml:space="preserve">（ ）满足 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 ）不满足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3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</w:rPr>
              <w:t>应用工业互联网赋能维度涵盖</w:t>
            </w:r>
          </w:p>
        </w:tc>
        <w:tc>
          <w:tcPr>
            <w:tcW w:w="6379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 xml:space="preserve">（ ）1 个 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 xml:space="preserve">（ ）2 个 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 xml:space="preserve">（ ）3 个 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 ）3 个以上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3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56C6C"/>
                <w:spacing w:val="0"/>
                <w:sz w:val="14"/>
                <w:szCs w:val="14"/>
              </w:rPr>
              <w:t>*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</w:rPr>
              <w:t>应用互联网程度</w:t>
            </w:r>
          </w:p>
        </w:tc>
        <w:tc>
          <w:tcPr>
            <w:tcW w:w="6379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 xml:space="preserve">（ ）较低 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 xml:space="preserve">（ ）一般 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 ）较高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为1星/2星建议认定为较低，结果为3星建议认定为较高，结果为4星建议认定为高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3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</w:rPr>
              <w:t>*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</w:rPr>
              <w:t>自评得分(满分30分)</w:t>
            </w:r>
          </w:p>
        </w:tc>
        <w:tc>
          <w:tcPr>
            <w:tcW w:w="6379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</w:t>
            </w:r>
            <w:r>
              <w:rPr>
                <w:rFonts w:hint="eastAsia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lang w:val="en-US" w:eastAsia="zh-CN"/>
              </w:rPr>
              <w:t>请输入</w:t>
            </w:r>
            <w:r>
              <w:rPr>
                <w:rFonts w:hint="eastAsia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</w:rPr>
              <w:t>自评得分(满分30分)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3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</w:rPr>
              <w:t>评分规则</w:t>
            </w:r>
          </w:p>
        </w:tc>
        <w:tc>
          <w:tcPr>
            <w:tcW w:w="6379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以下判定因素，满足任何一项即可: [20,30]分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a) 企业应用的工业互联网与现场重要设备(如AV、工业机器人、数控机床)进行控制通信;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b) 应用工业互联网赋能维度涵盖3个及以上;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c) 其他应用工业互联网程度较高的情况。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以下判定因素，满足任何一项即可:[15,20)分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a) 企业应用的工业互联网与现场关键设备进行控制通信: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b) 应用工业互联网赋能维度涵盖2个: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c) 其他应用工业互联网程度一般的情况。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以下判定因素，满足任何一项即时:[10,15)分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a) 应用工业互联网赋能维度涌盖1个;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b) 其他应用工业互联网程度较低的情况。</w:t>
            </w:r>
          </w:p>
        </w:tc>
      </w:tr>
    </w:tbl>
    <w:p>
      <w:pPr>
        <w:pStyle w:val="2"/>
        <w:numPr>
          <w:ilvl w:val="0"/>
          <w:numId w:val="1"/>
        </w:numPr>
        <w:bidi w:val="0"/>
        <w:rPr>
          <w:rFonts w:hint="default"/>
          <w:b/>
          <w:lang w:val="en-US" w:eastAsia="zh-CN"/>
        </w:rPr>
      </w:pPr>
      <w:r>
        <w:rPr>
          <w:rFonts w:hint="eastAsia"/>
          <w:b/>
          <w:lang w:val="en-US" w:eastAsia="zh-CN"/>
        </w:rPr>
        <w:t>定级要素4</w:t>
      </w:r>
    </w:p>
    <w:p>
      <w:pPr>
        <w:numPr>
          <w:ilvl w:val="0"/>
          <w:numId w:val="0"/>
        </w:numPr>
        <w:jc w:val="center"/>
        <w:rPr>
          <w:rFonts w:hint="default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444444"/>
          <w:spacing w:val="0"/>
          <w:sz w:val="21"/>
          <w:szCs w:val="21"/>
          <w:shd w:val="clear" w:fill="F5F7FA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444444"/>
          <w:spacing w:val="0"/>
          <w:sz w:val="21"/>
          <w:szCs w:val="21"/>
          <w:shd w:val="clear" w:fill="F5F7FA"/>
        </w:rPr>
        <w:t>企业一旦发生工业互联网网络安全事件的影响程度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2"/>
        <w:gridCol w:w="60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2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*对国家安全可能造成的影响及程度</w:t>
            </w:r>
          </w:p>
        </w:tc>
        <w:tc>
          <w:tcPr>
            <w:tcW w:w="6010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（）一般影响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（）较大影响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（）重大影响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2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*对社会秩序可能造成的影响及程度</w:t>
            </w:r>
          </w:p>
        </w:tc>
        <w:tc>
          <w:tcPr>
            <w:tcW w:w="6010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（）一般影响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（）较大影响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（）重大影响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2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*对经济运行可能造成的影响及程度</w:t>
            </w:r>
          </w:p>
        </w:tc>
        <w:tc>
          <w:tcPr>
            <w:tcW w:w="6010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（）一般影响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（）较大影响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（）重大影响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2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*对公众利益可能造成的影响及程度</w:t>
            </w:r>
          </w:p>
        </w:tc>
        <w:tc>
          <w:tcPr>
            <w:tcW w:w="6010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（）一般影响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（）较大影响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（）重大影响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2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*对人身安全可能造成的影响及程度</w:t>
            </w:r>
          </w:p>
        </w:tc>
        <w:tc>
          <w:tcPr>
            <w:tcW w:w="6010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（）一般影响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（）较大影响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（）重大影响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2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*对企业自身运行可能造成的影响及程度</w:t>
            </w:r>
          </w:p>
        </w:tc>
        <w:tc>
          <w:tcPr>
            <w:tcW w:w="6010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（）一般影响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（）较大影响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（）重大影响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2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*企业一旦发生工业互联网网络安全事件的影响程度</w:t>
            </w:r>
          </w:p>
        </w:tc>
        <w:tc>
          <w:tcPr>
            <w:tcW w:w="6010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（）一般影响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（）较大影响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（）重大影响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2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FF0000"/>
                <w:spacing w:val="0"/>
                <w:sz w:val="14"/>
                <w:szCs w:val="14"/>
                <w:lang w:val="en-US" w:eastAsia="zh-CN"/>
              </w:rPr>
              <w:t>*自评得分(满分30分)</w:t>
            </w:r>
          </w:p>
        </w:tc>
        <w:tc>
          <w:tcPr>
            <w:tcW w:w="601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（</w:t>
            </w:r>
            <w:r>
              <w:rPr>
                <w:rFonts w:hint="eastAsia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  <w:lang w:val="en-US" w:eastAsia="zh-CN"/>
              </w:rPr>
              <w:t>请输入</w:t>
            </w:r>
            <w:r>
              <w:rPr>
                <w:rFonts w:hint="eastAsia" w:ascii="Helvetica" w:hAnsi="Helvetica" w:eastAsia="Helvetica" w:cs="Helvetica"/>
                <w:b w:val="0"/>
                <w:bCs w:val="0"/>
                <w:i w:val="0"/>
                <w:iCs w:val="0"/>
                <w:caps w:val="0"/>
                <w:color w:val="FF0000"/>
                <w:spacing w:val="0"/>
                <w:sz w:val="14"/>
                <w:szCs w:val="14"/>
              </w:rPr>
              <w:t>自评得分(满分30分)</w:t>
            </w: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2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评分规则</w:t>
            </w:r>
          </w:p>
        </w:tc>
        <w:tc>
          <w:tcPr>
            <w:tcW w:w="6010" w:type="dxa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重大影响：严重影响企业自身运行、造成特别重大人员伤亡，会对社会秩序、经济运行和公众利益造成严重损害，或对国家安全造成严重损害。≥25分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较大影响：影响企业自身运行、造成重大人员伤亡，或对社会秩序、经济运行和公众利益造成较大损害，或对国家安全造成轻微损害。≥15分，&lt;25分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auto"/>
                <w:spacing w:val="0"/>
                <w:sz w:val="14"/>
                <w:szCs w:val="14"/>
                <w:lang w:val="en-US" w:eastAsia="zh-CN"/>
              </w:rPr>
              <w:t>一般影响：影响企业自身运行，造成轻微人员伤害，或对社会秩序、经济运行和公众利益造成轻微损害，不损害国家安全。&lt;15分</w:t>
            </w:r>
          </w:p>
        </w:tc>
      </w:tr>
    </w:tbl>
    <w:p>
      <w:pPr>
        <w:pStyle w:val="2"/>
        <w:numPr>
          <w:ilvl w:val="0"/>
          <w:numId w:val="1"/>
        </w:numPr>
        <w:bidi w:val="0"/>
        <w:rPr>
          <w:rFonts w:hint="default"/>
          <w:b/>
          <w:lang w:val="en-US" w:eastAsia="zh-CN"/>
        </w:rPr>
      </w:pPr>
      <w:r>
        <w:rPr>
          <w:rFonts w:hint="eastAsia"/>
          <w:b/>
          <w:lang w:val="en-US" w:eastAsia="zh-CN"/>
        </w:rPr>
        <w:t>自评级别</w:t>
      </w:r>
    </w:p>
    <w:p>
      <w:pPr>
        <w:numPr>
          <w:ilvl w:val="0"/>
          <w:numId w:val="0"/>
        </w:numPr>
        <w:jc w:val="center"/>
        <w:rPr>
          <w:rFonts w:hint="default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444444"/>
          <w:spacing w:val="0"/>
          <w:sz w:val="21"/>
          <w:szCs w:val="21"/>
          <w:shd w:val="clear" w:fill="F5F7FA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444444"/>
          <w:spacing w:val="0"/>
          <w:sz w:val="21"/>
          <w:szCs w:val="21"/>
          <w:shd w:val="clear" w:fill="F5F7FA"/>
        </w:rPr>
        <w:t>企业自评得分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定级要素1得分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定级要素2得分</w:t>
            </w:r>
          </w:p>
        </w:tc>
        <w:tc>
          <w:tcPr>
            <w:tcW w:w="121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定级要素3得分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定级要素4得分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总分</w:t>
            </w:r>
          </w:p>
        </w:tc>
        <w:tc>
          <w:tcPr>
            <w:tcW w:w="12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14" w:lineRule="atLeast"/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kern w:val="0"/>
                <w:sz w:val="14"/>
                <w:szCs w:val="14"/>
                <w:lang w:val="en-US" w:eastAsia="zh-CN" w:bidi="ar"/>
              </w:rPr>
              <w:t>自评级别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联网工业企业</w:t>
            </w:r>
          </w:p>
        </w:tc>
        <w:tc>
          <w:tcPr>
            <w:tcW w:w="121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1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1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1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1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1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备案单位</w:t>
            </w:r>
          </w:p>
        </w:tc>
        <w:tc>
          <w:tcPr>
            <w:tcW w:w="7305" w:type="dxa"/>
            <w:gridSpan w:val="6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Helvetica" w:hAnsi="Helvetica" w:eastAsia="Helvetica" w:cs="Helvetica"/>
                <w:b/>
                <w:bCs/>
                <w:i w:val="0"/>
                <w:iCs w:val="0"/>
                <w:caps w:val="0"/>
                <w:color w:val="444444"/>
                <w:spacing w:val="0"/>
                <w:sz w:val="14"/>
                <w:szCs w:val="14"/>
                <w:shd w:val="clear" w:fill="F5F7FA"/>
              </w:rPr>
              <w:t>备案日期</w:t>
            </w:r>
          </w:p>
        </w:tc>
        <w:tc>
          <w:tcPr>
            <w:tcW w:w="7305" w:type="dxa"/>
            <w:gridSpan w:val="6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备注：根据下表确定自评级别</w:t>
      </w:r>
    </w:p>
    <w:p>
      <w:pPr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b/>
          <w:bCs/>
          <w:i w:val="0"/>
          <w:iCs w:val="0"/>
          <w:caps w:val="0"/>
          <w:color w:val="444444"/>
          <w:spacing w:val="0"/>
          <w:sz w:val="21"/>
          <w:szCs w:val="21"/>
          <w:shd w:val="clear" w:fill="F5F7FA"/>
          <w:lang w:eastAsia="zh-CN"/>
        </w:rPr>
      </w:pPr>
      <w:r>
        <w:drawing>
          <wp:inline distT="0" distB="0" distL="114300" distR="114300">
            <wp:extent cx="5270500" cy="1304925"/>
            <wp:effectExtent l="0" t="0" r="2540" b="571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0BC4B4"/>
    <w:multiLevelType w:val="singleLevel"/>
    <w:tmpl w:val="430BC4B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90B57"/>
    <w:rsid w:val="01F11ABC"/>
    <w:rsid w:val="0314419D"/>
    <w:rsid w:val="05277080"/>
    <w:rsid w:val="063C579E"/>
    <w:rsid w:val="069E47FD"/>
    <w:rsid w:val="07102341"/>
    <w:rsid w:val="09BA165D"/>
    <w:rsid w:val="09DA0FB0"/>
    <w:rsid w:val="0A0A00B0"/>
    <w:rsid w:val="0EAD0BA0"/>
    <w:rsid w:val="0EC964EC"/>
    <w:rsid w:val="0FA271D0"/>
    <w:rsid w:val="0FDE15F5"/>
    <w:rsid w:val="1025050E"/>
    <w:rsid w:val="11486984"/>
    <w:rsid w:val="11A46680"/>
    <w:rsid w:val="120E0D05"/>
    <w:rsid w:val="12F157AA"/>
    <w:rsid w:val="130074EC"/>
    <w:rsid w:val="13291396"/>
    <w:rsid w:val="13AD22D8"/>
    <w:rsid w:val="156825AE"/>
    <w:rsid w:val="16EC4470"/>
    <w:rsid w:val="17302D4B"/>
    <w:rsid w:val="17705A2E"/>
    <w:rsid w:val="1773177D"/>
    <w:rsid w:val="18BF68FB"/>
    <w:rsid w:val="1A6F149D"/>
    <w:rsid w:val="1BA469F0"/>
    <w:rsid w:val="1BC95FA5"/>
    <w:rsid w:val="1C194053"/>
    <w:rsid w:val="1C286DBE"/>
    <w:rsid w:val="1C636357"/>
    <w:rsid w:val="1F3C0F4E"/>
    <w:rsid w:val="1F964850"/>
    <w:rsid w:val="216D3E9C"/>
    <w:rsid w:val="228C769A"/>
    <w:rsid w:val="23F0423E"/>
    <w:rsid w:val="246031BB"/>
    <w:rsid w:val="25884298"/>
    <w:rsid w:val="25A44C90"/>
    <w:rsid w:val="26DA1A09"/>
    <w:rsid w:val="273803E6"/>
    <w:rsid w:val="27D327E3"/>
    <w:rsid w:val="29086CF8"/>
    <w:rsid w:val="29AA7219"/>
    <w:rsid w:val="2AE624D1"/>
    <w:rsid w:val="2D414A6A"/>
    <w:rsid w:val="2DB833C7"/>
    <w:rsid w:val="2DBF665F"/>
    <w:rsid w:val="2E025882"/>
    <w:rsid w:val="2EBD14BC"/>
    <w:rsid w:val="2F9B30A9"/>
    <w:rsid w:val="30006118"/>
    <w:rsid w:val="3153274D"/>
    <w:rsid w:val="33DE073C"/>
    <w:rsid w:val="34BE3FAB"/>
    <w:rsid w:val="34CA155F"/>
    <w:rsid w:val="34EC41DF"/>
    <w:rsid w:val="354F3B80"/>
    <w:rsid w:val="36E077A7"/>
    <w:rsid w:val="3704484F"/>
    <w:rsid w:val="39AD3C09"/>
    <w:rsid w:val="3A2A1651"/>
    <w:rsid w:val="3A4252F9"/>
    <w:rsid w:val="3BD91D56"/>
    <w:rsid w:val="3C5A58BF"/>
    <w:rsid w:val="3C936A65"/>
    <w:rsid w:val="3DCF679E"/>
    <w:rsid w:val="424878D9"/>
    <w:rsid w:val="424D6701"/>
    <w:rsid w:val="43341B51"/>
    <w:rsid w:val="43CC7746"/>
    <w:rsid w:val="4402047A"/>
    <w:rsid w:val="46E34F06"/>
    <w:rsid w:val="46E35616"/>
    <w:rsid w:val="471F30FC"/>
    <w:rsid w:val="47CD5ECA"/>
    <w:rsid w:val="47FB35C5"/>
    <w:rsid w:val="480606B0"/>
    <w:rsid w:val="486F2CE2"/>
    <w:rsid w:val="4931130C"/>
    <w:rsid w:val="49932E45"/>
    <w:rsid w:val="4CC17779"/>
    <w:rsid w:val="4CCE79E7"/>
    <w:rsid w:val="4D610D5B"/>
    <w:rsid w:val="4DAD60FD"/>
    <w:rsid w:val="4DFE0347"/>
    <w:rsid w:val="4EAF5D26"/>
    <w:rsid w:val="4F3A40BE"/>
    <w:rsid w:val="4F93361D"/>
    <w:rsid w:val="4FB32C28"/>
    <w:rsid w:val="504743B9"/>
    <w:rsid w:val="50C874A7"/>
    <w:rsid w:val="5281560B"/>
    <w:rsid w:val="53370692"/>
    <w:rsid w:val="535C124A"/>
    <w:rsid w:val="537304F7"/>
    <w:rsid w:val="53B46D62"/>
    <w:rsid w:val="53E43B87"/>
    <w:rsid w:val="54231B80"/>
    <w:rsid w:val="55B20DA6"/>
    <w:rsid w:val="55F90990"/>
    <w:rsid w:val="5681115C"/>
    <w:rsid w:val="57376624"/>
    <w:rsid w:val="59801DA7"/>
    <w:rsid w:val="5B116A47"/>
    <w:rsid w:val="5BC07FAC"/>
    <w:rsid w:val="5CBC2B81"/>
    <w:rsid w:val="5CCE758F"/>
    <w:rsid w:val="624311E0"/>
    <w:rsid w:val="635A12B4"/>
    <w:rsid w:val="639E277B"/>
    <w:rsid w:val="657F351D"/>
    <w:rsid w:val="65D331AD"/>
    <w:rsid w:val="65F1774C"/>
    <w:rsid w:val="660541EF"/>
    <w:rsid w:val="66BE5E13"/>
    <w:rsid w:val="67205CF8"/>
    <w:rsid w:val="67C8134E"/>
    <w:rsid w:val="6E866699"/>
    <w:rsid w:val="6E940816"/>
    <w:rsid w:val="70115BE8"/>
    <w:rsid w:val="70CA3EAA"/>
    <w:rsid w:val="712675DA"/>
    <w:rsid w:val="747B5B27"/>
    <w:rsid w:val="752836C2"/>
    <w:rsid w:val="763E3F9A"/>
    <w:rsid w:val="76D639F9"/>
    <w:rsid w:val="77A26354"/>
    <w:rsid w:val="780555F1"/>
    <w:rsid w:val="782D04B7"/>
    <w:rsid w:val="79175B42"/>
    <w:rsid w:val="7920366E"/>
    <w:rsid w:val="7927654D"/>
    <w:rsid w:val="79997ED9"/>
    <w:rsid w:val="79EE4916"/>
    <w:rsid w:val="7A1F427A"/>
    <w:rsid w:val="7AD225DE"/>
    <w:rsid w:val="7B4D13B4"/>
    <w:rsid w:val="7BE02E34"/>
    <w:rsid w:val="7C6A5471"/>
    <w:rsid w:val="7D6B6AB5"/>
    <w:rsid w:val="7D6E474B"/>
    <w:rsid w:val="7F4F5EB6"/>
    <w:rsid w:val="7F68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emf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2026-07-10T06:22:00Z</dcterms:created>
  <dc:creator>ccc</dc:creator>
  <cp:lastModifiedBy>ccc</cp:lastModifiedBy>
  <dcterms:modified xsi:type="dcterms:W3CDTF">2026-07-27T01:57:00Z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F596BF7956D74A4997EC36ED01EC1663</vt:lpwstr>
  </property>
</Properties>
</file>