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省经信厅省发改委省生态环境厅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省应急管理厅省市场监管局关于印发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《磷石膏无害化处理技术规程(试行)》的通知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（鄂经信原材料〔2022〕76号）</w:t>
      </w:r>
    </w:p>
    <w:p>
      <w:pPr>
        <w:pStyle w:val="7"/>
        <w:keepNext w:val="0"/>
        <w:keepLines w:val="0"/>
        <w:widowControl/>
        <w:suppressLineNumbers w:val="0"/>
        <w:spacing w:line="420" w:lineRule="atLeast"/>
        <w:ind w:left="0" w:firstLine="360"/>
        <w:jc w:val="center"/>
        <w:rPr>
          <w:rFonts w:hint="default" w:ascii="Arial" w:hAnsi="Arial" w:cs="Arial"/>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有关市(州)经信局、发改委、生态环境局、应急管理局、市场监管局：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贯彻落实《关于加强磷石膏综合治理促进磷化工产业高质量发展的意见》(鄂办发〔2021〕33号)、《湖北省磷石膏污染防治条例》精神，切实抓好中央生态环境保护督察通报问题整改，加强磷石膏综合治理，全面推行磷石膏无害化处理，从根本上消除磷石膏堆存安全环保风险，促进全省磷化工产业高质量发展，省直有关部门研究制定了《磷石膏无害化处理技术规程(试行)》,经省人民政府同意，现印发给你们，请认真贯彻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湖北省生态环境厅 湖北省应急管理厅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湖北省经济和信息化厅  湖北省发展和改革委员会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湖北省市场监督管理局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left"/>
        <w:textAlignment w:val="auto"/>
        <w:rPr>
          <w:rFonts w:hint="eastAsia" w:asciiTheme="minorEastAsia" w:hAnsiTheme="minorEastAsia" w:eastAsiaTheme="minorEastAsia" w:cstheme="minorEastAsia"/>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磷石膏无害化处理技术规程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2022年6月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目录4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前言5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1总则6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 规范性引用文件6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3术语与定义7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3.1磷石膏无害化处理harmlesstreatmentofphosphogypsum7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3.2磷石膏综合利用comprehensiveutilizationofphosphogypsum7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4基本规定7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5磷石膏无害化处理工艺8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5.1水洗工艺8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5.2中和工艺8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5.3浮选工艺9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5.4煅烧工艺9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5.5其它9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6磷石膏综合利用指标10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6.1水泥缓凝剂10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6.2磷石膏生产硫酸联产水泥10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6.3建筑材料10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6.4筑路材料11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6.5土壤调理12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6.6其它利用13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7磷石膏贮存和填埋指标13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8环境及安全监测13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8.1环境监测要求13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8.2安全监测要求13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9环境保护14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9.1大气污染防治14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9.2水污染防治14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9.3固体废物污染防治14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9.4噪声与振动的防治14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10安全与职业健康15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前言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为贯彻执行国家、湖北省及化工行业的有关法律、法规和规定、产业政策，使磷石膏无害化处理及综合利用达到技术先进、保护环境、节约能源、经济合理和确保质量的要求，制定本规程。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本规程参照GB/T1.1-2020《标准化工作导则第1部分：标准化文件的结构和起草规则》进行起草。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本规程由湖北省经济和信息化厅会同湖北省发展和改革委员会、湖北省生态环境厅、湖北省应急管理厅、湖北省市场监督管理局等主管部门负责解释。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本规程主编单位：中国五环工程有限公司。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本规程参编单位：武汉工程大学、湖北省生态环境科学研究院、武汉理工大学、湖北宜化集团有限责任公司、湖北兴发化工集团股份有限公司、三峡实验室、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宜昌磷石膏综合利用产业协会、湖北祥云(集团)化工股份有限公司、湖北省长江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资源循环利用与装备创新中心、新洋丰农业科技股份有限公司、武汉江汉化工设计有限公司、武汉千水环境科技股份有限公司、宜昌成远环保新材料有限公司、武汉天元工程有限责任公司、郑州大学、宜昌西部化工有限责任公司、湖北大峪口化工有限责任公司、中国地质大学(武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磷石膏无害化处理技术规程(试行)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本规程适用于磷石膏无害化处理及综合利用。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磷石膏无害化处理及综合利用除符合本规程外，还应符合国家、湖北省及化工、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公路、水利、建筑等行业现行的有关标准和管理办法的规定。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2规范性引用文件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下列文件对于本规程的应用是必不可少的，以最新版本(包括所有的修改单)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适用于本规程。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1905"/>
        <w:gridCol w:w="458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198"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GB3838</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地表水环境质量标准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GB6566</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建筑材料放射性核素限量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GB8978</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污水综合排放标准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GB12348</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工业企业厂界环境噪声排放标准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GB16297</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大气污染物综合排放标准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GB18599</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一般工业固体废物贮存和填埋污染控制标准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GB38400</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肥料中有毒有害物质的限量要求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GB50187</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工业企业总平面设计规范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GB/T5484</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石膏化学分析方法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GB/T21371</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用于水泥中的工业副产石膏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GB/T23349</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肥料中砷、镉、铬、铅、汞含量的测定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GB/T23456</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磷石膏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GB/T32124</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磷石膏的处理处置规范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41"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GB/T50087</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工业企业噪声控制设计规范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58"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AQ2059</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磷石膏库安全技术规程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15" w:hRule="atLeast"/>
          <w:jc w:val="center"/>
        </w:trPr>
        <w:tc>
          <w:tcPr>
            <w:tcW w:w="190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DBJ52/T093</w:t>
            </w:r>
          </w:p>
        </w:tc>
        <w:tc>
          <w:tcPr>
            <w:tcW w:w="458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磷石膏建筑材料应用统一技术规范</w:t>
            </w:r>
          </w:p>
        </w:tc>
      </w:tr>
    </w:tbl>
    <w:p>
      <w:pPr>
        <w:keepNext w:val="0"/>
        <w:keepLines w:val="0"/>
        <w:widowControl/>
        <w:numPr>
          <w:numId w:val="0"/>
        </w:numPr>
        <w:suppressLineNumbers w:val="0"/>
        <w:spacing w:before="0" w:beforeAutospacing="1" w:after="0" w:afterAutospacing="1" w:line="420" w:lineRule="atLeast"/>
        <w:rPr>
          <w:rFonts w:hint="default" w:ascii="Arial" w:hAnsi="Arial" w:cs="Arial"/>
          <w:sz w:val="13"/>
          <w:szCs w:val="13"/>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1760"/>
        <w:gridCol w:w="46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198" w:hRule="atLeast"/>
          <w:jc w:val="center"/>
        </w:trPr>
        <w:tc>
          <w:tcPr>
            <w:tcW w:w="17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DB53/T396</w:t>
            </w:r>
          </w:p>
        </w:tc>
        <w:tc>
          <w:tcPr>
            <w:tcW w:w="465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改性磷石膏水泥缓凝剂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49" w:hRule="atLeast"/>
          <w:jc w:val="center"/>
        </w:trPr>
        <w:tc>
          <w:tcPr>
            <w:tcW w:w="17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HG/T4219</w:t>
            </w:r>
          </w:p>
        </w:tc>
        <w:tc>
          <w:tcPr>
            <w:tcW w:w="465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磷石膏土壤调理剂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58" w:hRule="atLeast"/>
          <w:jc w:val="center"/>
        </w:trPr>
        <w:tc>
          <w:tcPr>
            <w:tcW w:w="17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HJ557</w:t>
            </w:r>
          </w:p>
        </w:tc>
        <w:tc>
          <w:tcPr>
            <w:tcW w:w="465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固体废物浸出毒性浸出方法水平震荡法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58" w:hRule="atLeast"/>
          <w:jc w:val="center"/>
        </w:trPr>
        <w:tc>
          <w:tcPr>
            <w:tcW w:w="17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HJ761</w:t>
            </w:r>
          </w:p>
        </w:tc>
        <w:tc>
          <w:tcPr>
            <w:tcW w:w="465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固体废物有机质的测定灼烧减量法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7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JC/T2073</w:t>
            </w:r>
          </w:p>
        </w:tc>
        <w:tc>
          <w:tcPr>
            <w:tcW w:w="465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磷石膏中磷、氟的测定方法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7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T/CECSGD45-02</w:t>
            </w:r>
          </w:p>
        </w:tc>
        <w:tc>
          <w:tcPr>
            <w:tcW w:w="465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道路过硫磷石膏胶凝材料稳定基层技术规程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198" w:hRule="atLeast"/>
          <w:jc w:val="center"/>
        </w:trPr>
        <w:tc>
          <w:tcPr>
            <w:tcW w:w="17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NY/T1121.16</w:t>
            </w:r>
          </w:p>
        </w:tc>
        <w:tc>
          <w:tcPr>
            <w:tcW w:w="465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土壤检测第16部分：土壤水溶性盐总量的测定</w:t>
            </w:r>
          </w:p>
        </w:tc>
      </w:tr>
    </w:tbl>
    <w:p>
      <w:pPr>
        <w:keepNext w:val="0"/>
        <w:keepLines w:val="0"/>
        <w:widowControl/>
        <w:numPr>
          <w:numId w:val="0"/>
        </w:numPr>
        <w:suppressLineNumbers w:val="0"/>
        <w:spacing w:before="0" w:beforeAutospacing="1" w:after="0" w:afterAutospacing="1" w:line="420" w:lineRule="atLeast"/>
        <w:rPr>
          <w:rFonts w:hint="default" w:ascii="Arial" w:hAnsi="Arial" w:cs="Arial"/>
          <w:sz w:val="13"/>
          <w:szCs w:val="13"/>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《湖北省磷石膏污染防治条例》(湖北省十三届人大常委会第三十一次会议通过)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鄂办发[2021]33号《关于加强磷石膏综合治理促进磷化工产业高质量发展的意见》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3术语与定义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下列术语和定义适用于本规程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3.1磷石膏无害化处理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harmlesstreatmentofphosphogypsum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磷石膏经过水洗、中和、浮选、煅烧等各种工艺处理，使其满足综合利用相关标准要求并综合利用，或按照GB18599规定达到第I类一般工业固体废物标准要求的过程。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3.2磷石膏综合利用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comprehensiveutilizationofphosphogypsum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经过无害化处理后，满足相关标准要求，继续在生产及生活中加以利用的过程。如用于生产建筑材料(水泥缓凝剂、石膏板材、砌块、抹灰砂浆、自流平砂浆等)、道路材料(基层、公路护坡等)、工业原料、生态修复制品、土壤调理剂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4基本规定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磷石膏经过无害化处理后，满足综合利用相关标准，应优先综合利用。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工艺要在不断总结生产实践经验和吸收科研成果的基础上，积极采用实践证明行之有效的新技术、新材料和新设备。选取的工艺应减少二次污染、减轻对操作人员安全的威胁和对职业健康的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磷石膏无害化处理设施规模，以近期规模为主，并宜留有扩建、改建余地，兼顾后续工程建设。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磷石膏无害化处理设施的选址需满足工业项目选址要求，总平面布置可与现有工程统筹考虑，并满足GB50187等标准的要求。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5磷石膏无害化处理工艺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5.1水洗工艺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磷石膏料浆(含固量30%左右)经泵送至过滤机，物料在过滤机中过滤、洗涤，降低磷石膏中磷、氟等杂质含量。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典型水洗净化工艺流程如下：</w:t>
      </w:r>
    </w:p>
    <w:p>
      <w:pPr>
        <w:pStyle w:val="7"/>
        <w:keepNext w:val="0"/>
        <w:keepLines w:val="0"/>
        <w:widowControl/>
        <w:suppressLineNumbers w:val="0"/>
        <w:spacing w:line="420" w:lineRule="atLeast"/>
        <w:ind w:left="0" w:firstLine="420"/>
        <w:jc w:val="center"/>
        <w:rPr>
          <w:rFonts w:hint="default" w:ascii="Arial" w:hAnsi="Arial" w:cs="Arial"/>
          <w:sz w:val="13"/>
          <w:szCs w:val="13"/>
        </w:rPr>
      </w:pPr>
      <w:r>
        <w:rPr>
          <w:rFonts w:hint="default" w:ascii="仿宋_GB2312" w:hAnsi="Arial" w:eastAsia="仿宋_GB2312" w:cs="仿宋_GB2312"/>
          <w:i w:val="0"/>
          <w:iCs w:val="0"/>
          <w:caps w:val="0"/>
          <w:color w:val="000000"/>
          <w:spacing w:val="0"/>
          <w:sz w:val="18"/>
          <w:szCs w:val="18"/>
          <w:bdr w:val="none" w:color="auto" w:sz="0" w:space="0"/>
        </w:rPr>
        <w:t>水</w:t>
      </w:r>
      <w:r>
        <w:rPr>
          <w:rFonts w:hint="default" w:ascii="Arial" w:hAnsi="Arial" w:cs="Arial"/>
          <w:i w:val="0"/>
          <w:iCs w:val="0"/>
          <w:caps w:val="0"/>
          <w:color w:val="000000"/>
          <w:spacing w:val="0"/>
          <w:sz w:val="13"/>
          <w:szCs w:val="13"/>
          <w:bdr w:val="none" w:color="auto" w:sz="0" w:space="0"/>
        </w:rPr>
        <w:drawing>
          <wp:inline distT="0" distB="0" distL="114300" distR="114300">
            <wp:extent cx="4572000" cy="1143000"/>
            <wp:effectExtent l="0" t="0" r="5080" b="1270"/>
            <wp:docPr id="7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 descr="IMG_256"/>
                    <pic:cNvPicPr>
                      <a:picLocks noChangeAspect="1"/>
                    </pic:cNvPicPr>
                  </pic:nvPicPr>
                  <pic:blipFill>
                    <a:blip r:embed="rId6"/>
                    <a:stretch>
                      <a:fillRect/>
                    </a:stretch>
                  </pic:blipFill>
                  <pic:spPr>
                    <a:xfrm>
                      <a:off x="0" y="0"/>
                      <a:ext cx="4572000" cy="114300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磷石膏料浆过滤洗涤水洗磷石膏废水回用或送水处理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5.2中和工艺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磷石膏料浆(含固量30%左右)与电石渣、石灰或其它碱性物质，经计量后送入中和槽，将物料搅拌均匀，调节中和槽pH值至6~9,同时石灰等与可溶性磷和氟发生化学反应生成难溶物质，将反应后物料送入过滤机脱水。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典型中和工艺流程如下：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000000"/>
          <w:spacing w:val="0"/>
          <w:sz w:val="32"/>
          <w:szCs w:val="32"/>
          <w:bdr w:val="none" w:color="auto" w:sz="0" w:space="0"/>
        </w:rPr>
        <w:t>石</w:t>
      </w:r>
      <w:r>
        <w:rPr>
          <w:rFonts w:hint="eastAsia" w:ascii="方正仿宋_GB2312" w:hAnsi="方正仿宋_GB2312" w:eastAsia="方正仿宋_GB2312" w:cs="方正仿宋_GB2312"/>
          <w:i w:val="0"/>
          <w:iCs w:val="0"/>
          <w:caps w:val="0"/>
          <w:color w:val="000000"/>
          <w:spacing w:val="0"/>
          <w:sz w:val="32"/>
          <w:szCs w:val="32"/>
          <w:bdr w:val="none" w:color="auto" w:sz="0" w:space="0"/>
        </w:rPr>
        <w:drawing>
          <wp:inline distT="0" distB="0" distL="114300" distR="114300">
            <wp:extent cx="4552950" cy="1123950"/>
            <wp:effectExtent l="0" t="0" r="2540" b="9525"/>
            <wp:docPr id="7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 descr="IMG_257"/>
                    <pic:cNvPicPr>
                      <a:picLocks noChangeAspect="1"/>
                    </pic:cNvPicPr>
                  </pic:nvPicPr>
                  <pic:blipFill>
                    <a:blip r:embed="rId7"/>
                    <a:stretch>
                      <a:fillRect/>
                    </a:stretch>
                  </pic:blipFill>
                  <pic:spPr>
                    <a:xfrm>
                      <a:off x="0" y="0"/>
                      <a:ext cx="4552950" cy="1123950"/>
                    </a:xfrm>
                    <a:prstGeom prst="rect">
                      <a:avLst/>
                    </a:prstGeom>
                    <a:noFill/>
                    <a:ln w="9525">
                      <a:noFill/>
                    </a:ln>
                  </pic:spPr>
                </pic:pic>
              </a:graphicData>
            </a:graphic>
          </wp:inline>
        </w:drawing>
      </w:r>
      <w:r>
        <w:rPr>
          <w:rFonts w:hint="eastAsia" w:ascii="方正仿宋_GB2312" w:hAnsi="方正仿宋_GB2312" w:eastAsia="方正仿宋_GB2312" w:cs="方正仿宋_GB2312"/>
          <w:i w:val="0"/>
          <w:iCs w:val="0"/>
          <w:caps w:val="0"/>
          <w:color w:val="000000"/>
          <w:spacing w:val="0"/>
          <w:sz w:val="32"/>
          <w:szCs w:val="32"/>
          <w:bdr w:val="none" w:color="auto" w:sz="0" w:space="0"/>
        </w:rPr>
        <w:t> 灰</w:t>
      </w:r>
      <w:r>
        <w:rPr>
          <w:rFonts w:hint="eastAsia" w:ascii="仿宋_GB2312" w:hAnsi="仿宋_GB2312" w:eastAsia="仿宋_GB2312" w:cs="仿宋_GB2312"/>
          <w:i w:val="0"/>
          <w:caps w:val="0"/>
          <w:color w:val="333333"/>
          <w:spacing w:val="0"/>
          <w:sz w:val="32"/>
          <w:szCs w:val="32"/>
          <w:shd w:val="clear" w:fill="FFFFFF"/>
        </w:rPr>
        <w:t>等碱性物质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磷石音料浆·中和脱水中和磷石膏废水回用或送水处理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5.3浮选工艺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在浮选槽、浮选柱等浮选设备中加入浮选药剂，与磷石膏充分搅拌均匀，通过改变磷石膏与杂质的表面疏水、亲水性将杂质分离并去除，浮选后的磷石膏送入过滤机脱水。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典型浮选工艺流程如下：</w:t>
      </w:r>
    </w:p>
    <w:p>
      <w:pPr>
        <w:pStyle w:val="7"/>
        <w:keepNext w:val="0"/>
        <w:keepLines w:val="0"/>
        <w:pageBreakBefore w:val="0"/>
        <w:widowControl/>
        <w:suppressLineNumbers w:val="0"/>
        <w:kinsoku/>
        <w:wordWrap/>
        <w:overflowPunct/>
        <w:topLinePunct w:val="0"/>
        <w:autoSpaceDE/>
        <w:autoSpaceDN/>
        <w:bidi w:val="0"/>
        <w:adjustRightInd/>
        <w:snapToGrid/>
        <w:spacing w:line="420" w:lineRule="atLeas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rPr>
        <w:drawing>
          <wp:inline distT="0" distB="0" distL="114300" distR="114300">
            <wp:extent cx="4886325" cy="1228725"/>
            <wp:effectExtent l="0" t="0" r="0" b="1905"/>
            <wp:docPr id="7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 descr="IMG_258"/>
                    <pic:cNvPicPr>
                      <a:picLocks noChangeAspect="1"/>
                    </pic:cNvPicPr>
                  </pic:nvPicPr>
                  <pic:blipFill>
                    <a:blip r:embed="rId8"/>
                    <a:stretch>
                      <a:fillRect/>
                    </a:stretch>
                  </pic:blipFill>
                  <pic:spPr>
                    <a:xfrm>
                      <a:off x="0" y="0"/>
                      <a:ext cx="4886325" cy="122872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5.4煅烧工艺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通过原料输送机送入烘干机去除游离水，控制烘干机出口物料游离水含量小于10%,烘干后的物料送入煅烧设备，使物料温度控制在一定温度以上，有机物在煅烧设备中分解、挥发，并将部分磷、氟转化为难溶性物质(如焦磷酸钙等)而被固定，煅烧后的尾气经过净化后达标排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典型煅烧工艺流程如下：</w:t>
      </w:r>
    </w:p>
    <w:p>
      <w:pPr>
        <w:pStyle w:val="7"/>
        <w:keepNext w:val="0"/>
        <w:keepLines w:val="0"/>
        <w:pageBreakBefore w:val="0"/>
        <w:widowControl/>
        <w:suppressLineNumbers w:val="0"/>
        <w:kinsoku/>
        <w:wordWrap/>
        <w:overflowPunct/>
        <w:topLinePunct w:val="0"/>
        <w:autoSpaceDE/>
        <w:autoSpaceDN/>
        <w:bidi w:val="0"/>
        <w:adjustRightInd/>
        <w:snapToGrid/>
        <w:spacing w:line="420" w:lineRule="atLeas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rPr>
        <w:drawing>
          <wp:inline distT="0" distB="0" distL="114300" distR="114300">
            <wp:extent cx="3905250" cy="1276350"/>
            <wp:effectExtent l="0" t="0" r="2540" b="8255"/>
            <wp:docPr id="7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 descr="IMG_259"/>
                    <pic:cNvPicPr>
                      <a:picLocks noChangeAspect="1"/>
                    </pic:cNvPicPr>
                  </pic:nvPicPr>
                  <pic:blipFill>
                    <a:blip r:embed="rId9"/>
                    <a:stretch>
                      <a:fillRect/>
                    </a:stretch>
                  </pic:blipFill>
                  <pic:spPr>
                    <a:xfrm>
                      <a:off x="0" y="0"/>
                      <a:ext cx="3905250" cy="127635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5.5其它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磷石膏无害化处理工艺还可选择蒸压法等减少或消除磷石膏中磷、氟等危害成分的其它工艺方法。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磷石膏无害化处理工艺的选择可根据不同处理指标要求，选用单一或组合无害化处理工艺，必要时无害化处理工艺流程中配套其它工艺或设施。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6磷石膏综合利用指标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6.1水泥缓凝剂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无害化处理后的磷石膏用于水泥缓凝剂时应符合GB/T21371、DB53/T396等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相关标准的要求，主要指标见下表1。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表1磷石膏用于水泥缓凝剂主要指标</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1372"/>
        <w:gridCol w:w="1997"/>
        <w:gridCol w:w="686"/>
        <w:gridCol w:w="866"/>
        <w:gridCol w:w="686"/>
        <w:gridCol w:w="13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23"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指标</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分析方法</w:t>
            </w:r>
          </w:p>
        </w:tc>
        <w:tc>
          <w:tcPr>
            <w:tcW w:w="131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参考标准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23"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pH</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68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1319"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GB/T21371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326"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二水硫酸钙和无水硫酸钙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(CaSO₄·2H₂O+CaSO₄)(干基)</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≥75</w:t>
            </w:r>
          </w:p>
        </w:tc>
        <w:tc>
          <w:tcPr>
            <w:tcW w:w="68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19"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氯离子(C1)(干基)</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≤0.5</w:t>
            </w:r>
          </w:p>
        </w:tc>
        <w:tc>
          <w:tcPr>
            <w:tcW w:w="68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19"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23"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内照射指数</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68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GB6566</w:t>
            </w:r>
          </w:p>
        </w:tc>
        <w:tc>
          <w:tcPr>
            <w:tcW w:w="1319"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23"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外照射指数</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68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19"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附着水(H₂0)(湿基)</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≤15(建议)</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1319"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DB53/T396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15" w:hRule="atLeast"/>
          <w:jc w:val="center"/>
        </w:trPr>
        <w:tc>
          <w:tcPr>
            <w:tcW w:w="1372"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default" w:ascii="Arial" w:hAnsi="Arial" w:cs="Arial"/>
                <w:sz w:val="13"/>
                <w:szCs w:val="13"/>
              </w:rPr>
            </w:pPr>
            <w:r>
              <w:rPr>
                <w:rFonts w:hint="default" w:ascii="仿宋_GB2312" w:hAnsi="Arial" w:eastAsia="仿宋_GB2312" w:cs="仿宋_GB2312"/>
                <w:sz w:val="18"/>
                <w:szCs w:val="18"/>
                <w:bdr w:val="none" w:color="auto" w:sz="0" w:space="0"/>
              </w:rPr>
              <w:t>7</w:t>
            </w:r>
          </w:p>
        </w:tc>
        <w:tc>
          <w:tcPr>
            <w:tcW w:w="199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default" w:ascii="Arial" w:hAnsi="Arial" w:cs="Arial"/>
                <w:sz w:val="13"/>
                <w:szCs w:val="13"/>
              </w:rPr>
            </w:pPr>
            <w:r>
              <w:rPr>
                <w:rFonts w:hint="default" w:ascii="仿宋_GB2312" w:hAnsi="Arial" w:eastAsia="仿宋_GB2312" w:cs="仿宋_GB2312"/>
                <w:sz w:val="18"/>
                <w:szCs w:val="18"/>
                <w:bdr w:val="none" w:color="auto" w:sz="0" w:space="0"/>
              </w:rPr>
              <w:t>水溶性五氧化二磷(P₂Os)(于基)</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default" w:ascii="Arial" w:hAnsi="Arial" w:cs="Arial"/>
                <w:sz w:val="13"/>
                <w:szCs w:val="13"/>
              </w:rPr>
            </w:pPr>
            <w:r>
              <w:rPr>
                <w:rFonts w:hint="default" w:ascii="仿宋_GB2312" w:hAnsi="Arial" w:eastAsia="仿宋_GB2312" w:cs="仿宋_GB2312"/>
                <w:sz w:val="18"/>
                <w:szCs w:val="18"/>
                <w:bdr w:val="none" w:color="auto" w:sz="0" w:space="0"/>
              </w:rPr>
              <w:t>%</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default" w:ascii="Arial" w:hAnsi="Arial" w:cs="Arial"/>
                <w:sz w:val="13"/>
                <w:szCs w:val="13"/>
              </w:rPr>
            </w:pPr>
            <w:r>
              <w:rPr>
                <w:rFonts w:hint="default" w:ascii="仿宋_GB2312" w:hAnsi="Arial" w:eastAsia="仿宋_GB2312" w:cs="仿宋_GB2312"/>
                <w:sz w:val="18"/>
                <w:szCs w:val="18"/>
                <w:bdr w:val="none" w:color="auto" w:sz="0" w:space="0"/>
              </w:rPr>
              <w:t>≤0.15</w:t>
            </w:r>
          </w:p>
        </w:tc>
        <w:tc>
          <w:tcPr>
            <w:tcW w:w="6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default" w:ascii="Arial" w:hAnsi="Arial" w:cs="Arial"/>
                <w:sz w:val="13"/>
                <w:szCs w:val="13"/>
              </w:rPr>
            </w:pPr>
            <w:r>
              <w:rPr>
                <w:rFonts w:hint="default" w:ascii="仿宋_GB2312" w:hAnsi="Arial" w:eastAsia="仿宋_GB2312" w:cs="仿宋_GB2312"/>
                <w:sz w:val="18"/>
                <w:szCs w:val="18"/>
                <w:bdr w:val="none" w:color="auto" w:sz="0" w:space="0"/>
              </w:rPr>
              <w:t>JC/T2073</w:t>
            </w:r>
          </w:p>
        </w:tc>
        <w:tc>
          <w:tcPr>
            <w:tcW w:w="1319"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sz w:val="24"/>
                <w:szCs w:val="24"/>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6.2磷石膏生产硫酸联产水泥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磷石膏生产硫酸联产水泥应符合GB/T32124等相关标准的要求，主要指标见下表2。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表2磷石膏用于生产硫酸联产水泥主要指标</w:t>
      </w:r>
    </w:p>
    <w:p>
      <w:pPr>
        <w:pStyle w:val="7"/>
        <w:keepNext w:val="0"/>
        <w:keepLines w:val="0"/>
        <w:pageBreakBefore w:val="0"/>
        <w:widowControl/>
        <w:suppressLineNumbers w:val="0"/>
        <w:kinsoku/>
        <w:wordWrap/>
        <w:overflowPunct/>
        <w:topLinePunct w:val="0"/>
        <w:autoSpaceDE/>
        <w:autoSpaceDN/>
        <w:bidi w:val="0"/>
        <w:adjustRightInd/>
        <w:snapToGrid/>
        <w:spacing w:line="420" w:lineRule="atLeast"/>
        <w:ind w:left="0" w:firstLine="1134"/>
        <w:jc w:val="both"/>
        <w:textAlignment w:val="auto"/>
        <w:rPr>
          <w:rFonts w:hint="eastAsia" w:ascii="方正仿宋_GB2312" w:hAnsi="方正仿宋_GB2312" w:eastAsia="方正仿宋_GB2312" w:cs="方正仿宋_GB2312"/>
          <w:i w:val="0"/>
          <w:iCs w:val="0"/>
          <w:caps w:val="0"/>
          <w:color w:val="000000"/>
          <w:spacing w:val="0"/>
          <w:sz w:val="32"/>
          <w:szCs w:val="32"/>
          <w:bdr w:val="none" w:color="auto" w:sz="0" w:space="0"/>
        </w:rPr>
      </w:pPr>
    </w:p>
    <w:p>
      <w:pPr>
        <w:pStyle w:val="7"/>
        <w:keepNext w:val="0"/>
        <w:keepLines w:val="0"/>
        <w:pageBreakBefore w:val="0"/>
        <w:widowControl/>
        <w:suppressLineNumbers w:val="0"/>
        <w:kinsoku/>
        <w:wordWrap/>
        <w:overflowPunct/>
        <w:topLinePunct w:val="0"/>
        <w:autoSpaceDE/>
        <w:autoSpaceDN/>
        <w:bidi w:val="0"/>
        <w:adjustRightInd/>
        <w:snapToGrid/>
        <w:spacing w:line="420" w:lineRule="atLeast"/>
        <w:ind w:left="0" w:firstLine="1134"/>
        <w:jc w:val="both"/>
        <w:textAlignment w:val="auto"/>
        <w:rPr>
          <w:rFonts w:hint="eastAsia" w:ascii="方正仿宋_GB2312" w:hAnsi="方正仿宋_GB2312" w:eastAsia="方正仿宋_GB2312" w:cs="方正仿宋_GB2312"/>
          <w:i w:val="0"/>
          <w:iCs w:val="0"/>
          <w:caps w:val="0"/>
          <w:color w:val="000000"/>
          <w:spacing w:val="0"/>
          <w:sz w:val="32"/>
          <w:szCs w:val="32"/>
          <w:bdr w:val="none" w:color="auto" w:sz="0" w:space="0"/>
        </w:rPr>
      </w:pPr>
    </w:p>
    <w:p>
      <w:pPr>
        <w:pStyle w:val="7"/>
        <w:keepNext w:val="0"/>
        <w:keepLines w:val="0"/>
        <w:pageBreakBefore w:val="0"/>
        <w:widowControl/>
        <w:suppressLineNumbers w:val="0"/>
        <w:kinsoku/>
        <w:wordWrap/>
        <w:overflowPunct/>
        <w:topLinePunct w:val="0"/>
        <w:autoSpaceDE/>
        <w:autoSpaceDN/>
        <w:bidi w:val="0"/>
        <w:adjustRightInd/>
        <w:snapToGrid/>
        <w:spacing w:line="420" w:lineRule="atLeast"/>
        <w:ind w:left="0" w:firstLine="1134"/>
        <w:jc w:val="both"/>
        <w:textAlignment w:val="auto"/>
        <w:rPr>
          <w:rFonts w:hint="eastAsia" w:ascii="方正仿宋_GB2312" w:hAnsi="方正仿宋_GB2312" w:eastAsia="方正仿宋_GB2312" w:cs="方正仿宋_GB2312"/>
          <w:i w:val="0"/>
          <w:iCs w:val="0"/>
          <w:caps w:val="0"/>
          <w:color w:val="000000"/>
          <w:spacing w:val="0"/>
          <w:sz w:val="32"/>
          <w:szCs w:val="32"/>
          <w:bdr w:val="none" w:color="auto" w:sz="0" w:space="0"/>
        </w:rPr>
      </w:pPr>
    </w:p>
    <w:p>
      <w:pPr>
        <w:pStyle w:val="7"/>
        <w:keepNext w:val="0"/>
        <w:keepLines w:val="0"/>
        <w:pageBreakBefore w:val="0"/>
        <w:widowControl/>
        <w:suppressLineNumbers w:val="0"/>
        <w:kinsoku/>
        <w:wordWrap/>
        <w:overflowPunct/>
        <w:topLinePunct w:val="0"/>
        <w:autoSpaceDE/>
        <w:autoSpaceDN/>
        <w:bidi w:val="0"/>
        <w:adjustRightInd/>
        <w:snapToGrid/>
        <w:spacing w:line="420" w:lineRule="atLeast"/>
        <w:ind w:left="0" w:firstLine="1134"/>
        <w:jc w:val="both"/>
        <w:textAlignment w:val="auto"/>
        <w:rPr>
          <w:rFonts w:hint="eastAsia" w:ascii="方正仿宋_GB2312" w:hAnsi="方正仿宋_GB2312" w:eastAsia="方正仿宋_GB2312" w:cs="方正仿宋_GB2312"/>
          <w:i w:val="0"/>
          <w:iCs w:val="0"/>
          <w:caps w:val="0"/>
          <w:color w:val="000000"/>
          <w:spacing w:val="0"/>
          <w:sz w:val="32"/>
          <w:szCs w:val="32"/>
          <w:bdr w:val="none" w:color="auto" w:sz="0" w:space="0"/>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646"/>
        <w:gridCol w:w="1903"/>
        <w:gridCol w:w="646"/>
        <w:gridCol w:w="786"/>
        <w:gridCol w:w="789"/>
        <w:gridCol w:w="87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15" w:hRule="atLeast"/>
          <w:jc w:val="center"/>
        </w:trPr>
        <w:tc>
          <w:tcPr>
            <w:tcW w:w="42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190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w:t>
            </w:r>
          </w:p>
        </w:tc>
        <w:tc>
          <w:tcPr>
            <w:tcW w:w="42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tc>
        <w:tc>
          <w:tcPr>
            <w:tcW w:w="57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指标</w:t>
            </w:r>
          </w:p>
        </w:tc>
        <w:tc>
          <w:tcPr>
            <w:tcW w:w="78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分析方法</w:t>
            </w:r>
          </w:p>
        </w:tc>
        <w:tc>
          <w:tcPr>
            <w:tcW w:w="87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参考标准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42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190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三氧化硫(SO₃)(于基)</w:t>
            </w:r>
          </w:p>
        </w:tc>
        <w:tc>
          <w:tcPr>
            <w:tcW w:w="42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57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≥40</w:t>
            </w:r>
          </w:p>
        </w:tc>
        <w:tc>
          <w:tcPr>
            <w:tcW w:w="789"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874"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GB/T32124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23" w:hRule="atLeast"/>
          <w:jc w:val="center"/>
        </w:trPr>
        <w:tc>
          <w:tcPr>
            <w:tcW w:w="42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190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二氧化硅(Si02)(干基)</w:t>
            </w:r>
          </w:p>
        </w:tc>
        <w:tc>
          <w:tcPr>
            <w:tcW w:w="42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57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≤8.0</w:t>
            </w:r>
          </w:p>
        </w:tc>
        <w:tc>
          <w:tcPr>
            <w:tcW w:w="789"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874"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42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190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五氧化二磷(P₂O₅)(干基)</w:t>
            </w:r>
          </w:p>
        </w:tc>
        <w:tc>
          <w:tcPr>
            <w:tcW w:w="42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57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≤1.5</w:t>
            </w:r>
          </w:p>
        </w:tc>
        <w:tc>
          <w:tcPr>
            <w:tcW w:w="789"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JC/T2073</w:t>
            </w:r>
          </w:p>
        </w:tc>
        <w:tc>
          <w:tcPr>
            <w:tcW w:w="874"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15" w:hRule="atLeast"/>
          <w:jc w:val="center"/>
        </w:trPr>
        <w:tc>
          <w:tcPr>
            <w:tcW w:w="42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190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氟(F)(于基)</w:t>
            </w:r>
          </w:p>
        </w:tc>
        <w:tc>
          <w:tcPr>
            <w:tcW w:w="42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57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≤0.35</w:t>
            </w:r>
          </w:p>
        </w:tc>
        <w:tc>
          <w:tcPr>
            <w:tcW w:w="789"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874"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6.3建筑材料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无害化处理后的磷石膏用于建筑材料时应符合GB/T23456磷石膏中一级或二级指标，DBJ52/T093及其它建材类石膏相关标准的要求。其放射性核素限量应符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合GB6566相关要求，主要指标见下表3。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表3磷石膏用于建筑材料主要指标</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646"/>
        <w:gridCol w:w="1626"/>
        <w:gridCol w:w="646"/>
        <w:gridCol w:w="786"/>
        <w:gridCol w:w="786"/>
        <w:gridCol w:w="915"/>
        <w:gridCol w:w="105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jc w:val="center"/>
        </w:trPr>
        <w:tc>
          <w:tcPr>
            <w:tcW w:w="64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162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w:t>
            </w:r>
          </w:p>
        </w:tc>
        <w:tc>
          <w:tcPr>
            <w:tcW w:w="64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tc>
        <w:tc>
          <w:tcPr>
            <w:tcW w:w="1572" w:type="dxa"/>
            <w:gridSpan w:val="2"/>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指标</w:t>
            </w:r>
          </w:p>
        </w:tc>
        <w:tc>
          <w:tcPr>
            <w:tcW w:w="915"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分析方法</w:t>
            </w:r>
          </w:p>
        </w:tc>
        <w:tc>
          <w:tcPr>
            <w:tcW w:w="1052"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参考标准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jc w:val="center"/>
        </w:trPr>
        <w:tc>
          <w:tcPr>
            <w:tcW w:w="64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62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64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一级</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二级</w:t>
            </w:r>
          </w:p>
        </w:tc>
        <w:tc>
          <w:tcPr>
            <w:tcW w:w="915"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23" w:hRule="atLeast"/>
          <w:jc w:val="center"/>
        </w:trPr>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附着水(H,0)(湿基)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≤15</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w:t>
            </w:r>
          </w:p>
        </w:tc>
        <w:tc>
          <w:tcPr>
            <w:tcW w:w="91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1052"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GB/T23456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43" w:hRule="atLeast"/>
          <w:jc w:val="center"/>
        </w:trPr>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二水硫酸钙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(CaSO·2H,0)(于基)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≥90</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≥80</w:t>
            </w:r>
          </w:p>
        </w:tc>
        <w:tc>
          <w:tcPr>
            <w:tcW w:w="915"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GB/T23456</w:t>
            </w: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35" w:hRule="atLeast"/>
          <w:jc w:val="center"/>
        </w:trPr>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水溶性五氧化二磷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(P₂O₅)(干基)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≤0.20</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≤0.30</w:t>
            </w:r>
          </w:p>
        </w:tc>
        <w:tc>
          <w:tcPr>
            <w:tcW w:w="915"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JC/T2073</w:t>
            </w: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35" w:hRule="atLeast"/>
          <w:jc w:val="center"/>
        </w:trPr>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水溶性氟离子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(F)(干基)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≤0.10</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≤0.20</w:t>
            </w:r>
          </w:p>
        </w:tc>
        <w:tc>
          <w:tcPr>
            <w:tcW w:w="915"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43" w:hRule="atLeast"/>
          <w:jc w:val="center"/>
        </w:trPr>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水溶性氧化镁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(MgO)(干基)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≤0.10</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≤0.30</w:t>
            </w:r>
          </w:p>
        </w:tc>
        <w:tc>
          <w:tcPr>
            <w:tcW w:w="915"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35" w:hRule="atLeast"/>
          <w:jc w:val="center"/>
        </w:trPr>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水溶性氧化钠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(Na,O)(于基)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≤0.06</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≤0.10</w:t>
            </w:r>
          </w:p>
        </w:tc>
        <w:tc>
          <w:tcPr>
            <w:tcW w:w="915"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氯离子(C1)(于基)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≤0.02</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≤0.04</w:t>
            </w:r>
          </w:p>
        </w:tc>
        <w:tc>
          <w:tcPr>
            <w:tcW w:w="915"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jc w:val="center"/>
        </w:trPr>
        <w:tc>
          <w:tcPr>
            <w:tcW w:w="64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w:t>
            </w: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内照射指数</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1572" w:type="dxa"/>
            <w:gridSpan w:val="2"/>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915"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GB6566</w:t>
            </w:r>
          </w:p>
        </w:tc>
        <w:tc>
          <w:tcPr>
            <w:tcW w:w="1052"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GB6566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jc w:val="center"/>
        </w:trPr>
        <w:tc>
          <w:tcPr>
            <w:tcW w:w="64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62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外照射指数</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1572" w:type="dxa"/>
            <w:gridSpan w:val="2"/>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915"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52"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6.4筑路材料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无害化处理后的磷石膏用作筑路材料(基层、底基层)时应满足GB/T23456及T/CECSG;D45-02等标准要求，主要指标见下表4。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i w:val="0"/>
          <w:caps w:val="0"/>
          <w:color w:val="333333"/>
          <w:spacing w:val="0"/>
          <w:sz w:val="32"/>
          <w:szCs w:val="32"/>
          <w:shd w:val="clear" w:fill="FFFFFF"/>
        </w:rPr>
        <w:t>表4磷石膏用于筑路材料(基层、底基层)</w:t>
      </w:r>
      <w:r>
        <w:rPr>
          <w:rFonts w:hint="eastAsia" w:ascii="方正仿宋_GB2312" w:hAnsi="方正仿宋_GB2312" w:eastAsia="方正仿宋_GB2312" w:cs="方正仿宋_GB2312"/>
          <w:i w:val="0"/>
          <w:iCs w:val="0"/>
          <w:caps w:val="0"/>
          <w:color w:val="000000"/>
          <w:spacing w:val="0"/>
          <w:sz w:val="32"/>
          <w:szCs w:val="32"/>
          <w:bdr w:val="none" w:color="auto" w:sz="0" w:space="0"/>
        </w:rPr>
        <w:t>时主要指标</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646"/>
        <w:gridCol w:w="1766"/>
        <w:gridCol w:w="646"/>
        <w:gridCol w:w="786"/>
        <w:gridCol w:w="763"/>
        <w:gridCol w:w="10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32" w:hRule="atLeast"/>
          <w:jc w:val="center"/>
        </w:trPr>
        <w:tc>
          <w:tcPr>
            <w:tcW w:w="37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17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w:t>
            </w:r>
          </w:p>
        </w:tc>
        <w:tc>
          <w:tcPr>
            <w:tcW w:w="3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tc>
        <w:tc>
          <w:tcPr>
            <w:tcW w:w="64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指标</w:t>
            </w:r>
          </w:p>
        </w:tc>
        <w:tc>
          <w:tcPr>
            <w:tcW w:w="76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分析方法</w:t>
            </w:r>
          </w:p>
        </w:tc>
        <w:tc>
          <w:tcPr>
            <w:tcW w:w="108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参考标准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37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17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附着水(H₂0)(湿基)</w:t>
            </w:r>
          </w:p>
        </w:tc>
        <w:tc>
          <w:tcPr>
            <w:tcW w:w="3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4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≤15</w:t>
            </w:r>
          </w:p>
        </w:tc>
        <w:tc>
          <w:tcPr>
            <w:tcW w:w="76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1080"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T/CECSG:D45-02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37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17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细度(80μm方孔筛筛余量)</w:t>
            </w:r>
          </w:p>
        </w:tc>
        <w:tc>
          <w:tcPr>
            <w:tcW w:w="3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4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w:t>
            </w:r>
          </w:p>
        </w:tc>
        <w:tc>
          <w:tcPr>
            <w:tcW w:w="763"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GB/T23456</w:t>
            </w:r>
          </w:p>
        </w:tc>
        <w:tc>
          <w:tcPr>
            <w:tcW w:w="1080"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35" w:hRule="atLeast"/>
          <w:jc w:val="center"/>
        </w:trPr>
        <w:tc>
          <w:tcPr>
            <w:tcW w:w="37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17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二水硫酸钙(CaSO₄·2H₂O)(干基)</w:t>
            </w:r>
          </w:p>
        </w:tc>
        <w:tc>
          <w:tcPr>
            <w:tcW w:w="3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4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≥85</w:t>
            </w:r>
          </w:p>
        </w:tc>
        <w:tc>
          <w:tcPr>
            <w:tcW w:w="763"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80"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35" w:hRule="atLeast"/>
          <w:jc w:val="center"/>
        </w:trPr>
        <w:tc>
          <w:tcPr>
            <w:tcW w:w="37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17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水溶性五氧化二磷(P,0.)(干基)</w:t>
            </w:r>
          </w:p>
        </w:tc>
        <w:tc>
          <w:tcPr>
            <w:tcW w:w="3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4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≤0.2</w:t>
            </w:r>
          </w:p>
        </w:tc>
        <w:tc>
          <w:tcPr>
            <w:tcW w:w="763"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1080"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335" w:hRule="atLeast"/>
          <w:jc w:val="center"/>
        </w:trPr>
        <w:tc>
          <w:tcPr>
            <w:tcW w:w="37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17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水溶性氟离子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(F)(干基)</w:t>
            </w:r>
          </w:p>
        </w:tc>
        <w:tc>
          <w:tcPr>
            <w:tcW w:w="3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4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≤0.1</w:t>
            </w:r>
          </w:p>
        </w:tc>
        <w:tc>
          <w:tcPr>
            <w:tcW w:w="763"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80"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1" w:hRule="atLeast"/>
          <w:jc w:val="center"/>
        </w:trPr>
        <w:tc>
          <w:tcPr>
            <w:tcW w:w="377"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w:t>
            </w:r>
          </w:p>
        </w:tc>
        <w:tc>
          <w:tcPr>
            <w:tcW w:w="17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pH</w:t>
            </w:r>
          </w:p>
        </w:tc>
        <w:tc>
          <w:tcPr>
            <w:tcW w:w="3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43"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w:t>
            </w:r>
          </w:p>
        </w:tc>
        <w:tc>
          <w:tcPr>
            <w:tcW w:w="763"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080"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bl>
    <w:p>
      <w:pPr>
        <w:rPr>
          <w:vanish/>
          <w:sz w:val="24"/>
          <w:szCs w:val="24"/>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841"/>
        <w:gridCol w:w="1860"/>
        <w:gridCol w:w="646"/>
        <w:gridCol w:w="634"/>
        <w:gridCol w:w="771"/>
        <w:gridCol w:w="168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41"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指标</w:t>
            </w:r>
          </w:p>
        </w:tc>
        <w:tc>
          <w:tcPr>
            <w:tcW w:w="77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分析方法</w:t>
            </w:r>
          </w:p>
        </w:tc>
        <w:tc>
          <w:tcPr>
            <w:tcW w:w="168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参考标准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01"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砷及其化合物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(以As计)(干基)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≤0.005</w:t>
            </w:r>
          </w:p>
        </w:tc>
        <w:tc>
          <w:tcPr>
            <w:tcW w:w="771"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GB/T23349</w:t>
            </w:r>
          </w:p>
        </w:tc>
        <w:tc>
          <w:tcPr>
            <w:tcW w:w="1681"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T/CECSG:D45-02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09"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镉及其化合物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(以Cd计)(干基)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≤0.001</w:t>
            </w:r>
          </w:p>
        </w:tc>
        <w:tc>
          <w:tcPr>
            <w:tcW w:w="77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68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01"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铅及其化合物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(以Pb计)(干基)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≤0.02</w:t>
            </w:r>
          </w:p>
        </w:tc>
        <w:tc>
          <w:tcPr>
            <w:tcW w:w="77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68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09"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铬及其化合物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(以Cr计)(于基)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≤0.05</w:t>
            </w:r>
          </w:p>
        </w:tc>
        <w:tc>
          <w:tcPr>
            <w:tcW w:w="77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68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01"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11</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汞及其化合物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(以Hg计)(干基)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≤0.0005</w:t>
            </w:r>
          </w:p>
        </w:tc>
        <w:tc>
          <w:tcPr>
            <w:tcW w:w="77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68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09"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12</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水溶性氧化镁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(MgO)(干基)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≤0.30</w:t>
            </w:r>
          </w:p>
        </w:tc>
        <w:tc>
          <w:tcPr>
            <w:tcW w:w="771"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GB/T5484</w:t>
            </w:r>
          </w:p>
        </w:tc>
        <w:tc>
          <w:tcPr>
            <w:tcW w:w="1681"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GB/T23456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92" w:hRule="atLeast"/>
          <w:jc w:val="center"/>
        </w:trPr>
        <w:tc>
          <w:tcPr>
            <w:tcW w:w="8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13</w:t>
            </w:r>
          </w:p>
        </w:tc>
        <w:tc>
          <w:tcPr>
            <w:tcW w:w="186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水溶性氧化钠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(Na,0)(于基)</w:t>
            </w:r>
          </w:p>
        </w:tc>
        <w:tc>
          <w:tcPr>
            <w:tcW w:w="64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34"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≤0.10</w:t>
            </w:r>
          </w:p>
        </w:tc>
        <w:tc>
          <w:tcPr>
            <w:tcW w:w="77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681"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6.5土壤调理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无害化处理后的磷石膏可用于土壤调理，以磷石膏为原料生产的土壤调整剂相关指标应满足HG/T4219及GB38400等相关标准要求，主要指标见下表5。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表5磷石膏为原料生产的土壤调整剂主要指标</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86" w:type="dxa"/>
          <w:bottom w:w="43" w:type="dxa"/>
          <w:right w:w="86" w:type="dxa"/>
        </w:tblCellMar>
      </w:tblPr>
      <w:tblGrid>
        <w:gridCol w:w="1041"/>
        <w:gridCol w:w="1669"/>
        <w:gridCol w:w="900"/>
        <w:gridCol w:w="786"/>
        <w:gridCol w:w="866"/>
        <w:gridCol w:w="13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指标</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分析方法</w:t>
            </w:r>
          </w:p>
        </w:tc>
        <w:tc>
          <w:tcPr>
            <w:tcW w:w="137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参考标准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352"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钙的质量分数(以Ca计)(干基)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≤17.0</w:t>
            </w:r>
          </w:p>
        </w:tc>
        <w:tc>
          <w:tcPr>
            <w:tcW w:w="86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HG/T4219</w:t>
            </w:r>
          </w:p>
        </w:tc>
        <w:tc>
          <w:tcPr>
            <w:tcW w:w="137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HG/T4219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343"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硫的质量分数(以S计)(干基)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≥14.0</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pH值</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3.0~6.5</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游离水的质量分数(H₂O)</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≤25</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335"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水溶性氟的质量分数(以F计)(干基)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≤0.3</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49"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总镉(干基)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mg/kg</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86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GB/T23349</w:t>
            </w:r>
          </w:p>
        </w:tc>
        <w:tc>
          <w:tcPr>
            <w:tcW w:w="1376" w:type="dxa"/>
            <w:vMerge w:val="restart"/>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GB38400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总汞(干基)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mg/kg</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49"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总砷(干基)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mg/kg</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≤50</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49"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总铅(干基)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mg/kg</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≤200</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86" w:type="dxa"/>
            <w:bottom w:w="43" w:type="dxa"/>
            <w:right w:w="86" w:type="dxa"/>
          </w:tblCellMar>
        </w:tblPrEx>
        <w:trPr>
          <w:trHeight w:val="241"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11</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总铬(干基)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mg/kg</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≤500</w:t>
            </w:r>
          </w:p>
        </w:tc>
        <w:tc>
          <w:tcPr>
            <w:tcW w:w="86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86" w:type="dxa"/>
            <w:bottom w:w="43" w:type="dxa"/>
            <w:right w:w="86" w:type="dxa"/>
          </w:tblCellMar>
        </w:tblPrEx>
        <w:trPr>
          <w:trHeight w:val="232" w:hRule="atLeast"/>
          <w:jc w:val="center"/>
        </w:trPr>
        <w:tc>
          <w:tcPr>
            <w:tcW w:w="1041"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12</w:t>
            </w:r>
          </w:p>
        </w:tc>
        <w:tc>
          <w:tcPr>
            <w:tcW w:w="1669"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总铊(干基)</w:t>
            </w:r>
          </w:p>
        </w:tc>
        <w:tc>
          <w:tcPr>
            <w:tcW w:w="900"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mg/kg</w:t>
            </w:r>
          </w:p>
        </w:tc>
        <w:tc>
          <w:tcPr>
            <w:tcW w:w="78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≤2.5</w:t>
            </w:r>
          </w:p>
        </w:tc>
        <w:tc>
          <w:tcPr>
            <w:tcW w:w="866" w:type="dxa"/>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GB38400</w:t>
            </w:r>
          </w:p>
        </w:tc>
        <w:tc>
          <w:tcPr>
            <w:tcW w:w="1376" w:type="dxa"/>
            <w:vMerge w:val="continue"/>
            <w:tcBorders>
              <w:top w:val="outset" w:color="auto" w:sz="6" w:space="0"/>
              <w:left w:val="outset" w:color="auto" w:sz="6" w:space="0"/>
              <w:bottom w:val="outset" w:color="auto" w:sz="6" w:space="0"/>
              <w:right w:val="outset" w:color="auto" w:sz="6" w:space="0"/>
            </w:tcBorders>
            <w:shd w:val="clear"/>
            <w:tcMar>
              <w:top w:w="43" w:type="dxa"/>
              <w:left w:w="43" w:type="dxa"/>
              <w:right w:w="43" w:type="dxa"/>
            </w:tcMar>
            <w:vAlign w:val="center"/>
          </w:tcPr>
          <w:p>
            <w:pPr>
              <w:rPr>
                <w:rFonts w:hint="eastAsia" w:ascii="宋体" w:hAnsi="宋体" w:eastAsia="宋体" w:cs="宋体"/>
                <w:sz w:val="28"/>
                <w:szCs w:val="28"/>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6.6其它利用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无害化处理后的磷石膏也可用于磷石膏基复合材料、高强石膏及纸张、滤料、橡胶及塑料填充料、生态修复等用途。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7磷石膏贮存和填埋指标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采用贮存或填埋方式处理，无害化处理后的磷石膏需按照HJ557规定方法获得的浸出液中任何一种特征污染物的浓度均未超过GB8978最高允许排放浓度(第二类污染物最高允许排放浓度按照一级标准执行),且pH在6-9范围之内，满足第I类一般工业固体废物要求。进入I类场的无害化处理后的磷石膏需同时满足有机质含量小于2%,测定方法按照HJ761进行；水溶性盐总量小于2%,测定方法按照NY/T1121.16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8环境及安全监测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8.1环境监测要求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贮存、填埋时应按照有关法律和《环境监测管理办法》、《企业事业单位环境信息公开办法》等规定，建立堆场监测制度，制定监测方案，对污染物排放状况及对贮存、填埋场周边环境质量的影响开展自行监测，并公开监测结果。污染物监测应符合GB18599相关规定，地下水总磷指标参照GB3838中“总磷(以P计)”III类标准限值进行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用于筑路材料时，使用单位应定期对筑路材料进行芯样抽检。项目实施前，应监测土壤、地表水及地下水现状值，在基层、底基层完工后，应对可能受到影响的土壤、地表水及地下水开展长期监测，监测频次每年至少一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8.2安全监测要求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磷石膏贮存和填埋场安全监测设施的建设应满足AQ2059要求。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9环境保护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建设磷石膏无害化处理设施，应当依法进行环境影响评价，并遵守国家有关建设项目环境保护管理的规定。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磷石膏无害化处理设施的环境影响评价文件确定需要配套建设的污染防治设施，应当与主体工程同时设计、同时施工、同时投入使用。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9.1大气污染防治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过程中排放粉尘、氟化物、硫化物的，应当采取清洁生产工艺，生产装置应采取措施减少粉尘等污染物的排放。向大气排放污染物的，应当符合GB16297及相关标准要求，遵守重点区域特别排放限值及大气污染物排放总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控制要求。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9.2水污染防治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磷石膏无害化处理设施的生产和生活污水应经处理后回用或达标排放。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9.3固体废物污染防治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磷石膏无害化处理及综合利用过程中产生固体废物的，应当采取综合利用或妥善处理等措施，防止或减少固体废物产生。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9.4噪声与振动的防治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磷石膏无害化处理项目应当首先选用低噪声的工艺设备，如仍达不到相关标准要求，则应采取有效的消声、隔声、吸声、减振、隔振以及综合控制等噪声控制措施，减少振动、降低噪声污染，应当符合GB12348、GB/T50087等标准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10安全与职业健康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无害化处理设施建设及运行应按行业要求办理相应的合法、合规手续。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无害化处理设施建设及运行如需要配套建设的安全设施，应当与主体工程同时设计、同时施工、同时投入使用。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无害化处理设施建设如需要采用压力容器、行车等特种设备，按行业监管要求办理合法合规手续，接受相关部门运行监管。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无害化处理设施建设，如涉及危险化学品、易燃易爆物质的，应加强危险源辨识，配备齐全的应急设施，制定完善的应急预案，定期演练。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职业健康严格按工矿企业管理标准落实，操作人员应经培训合格后上岗，配备必要的个人防护用品。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1751AC41-1EF3-40DB-B040-90E87BEBF6F9}"/>
  </w:font>
  <w:font w:name="楷体_GB2312">
    <w:altName w:val="楷体"/>
    <w:panose1 w:val="02010609030101010101"/>
    <w:charset w:val="86"/>
    <w:family w:val="auto"/>
    <w:pitch w:val="default"/>
    <w:sig w:usb0="00000000" w:usb1="00000000" w:usb2="00000000" w:usb3="00000000" w:csb0="00040000" w:csb1="00000000"/>
    <w:embedRegular r:id="rId2" w:fontKey="{8A4FBAF5-6D22-40FC-A77C-A1288D635B36}"/>
  </w:font>
  <w:font w:name="仿宋">
    <w:panose1 w:val="02010609060101010101"/>
    <w:charset w:val="86"/>
    <w:family w:val="auto"/>
    <w:pitch w:val="default"/>
    <w:sig w:usb0="800002BF" w:usb1="38CF7CFA" w:usb2="00000016" w:usb3="00000000" w:csb0="00040001" w:csb1="00000000"/>
    <w:embedRegular r:id="rId3" w:fontKey="{10834F61-AB8E-4DBD-BAEE-BC7722B75119}"/>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embedRegular r:id="rId4" w:fontKey="{D06EB426-236C-44AE-93B9-42867E77EDAF}"/>
  </w:font>
  <w:font w:name="仿宋_GB2312">
    <w:altName w:val="仿宋"/>
    <w:panose1 w:val="00000000000000000000"/>
    <w:charset w:val="00"/>
    <w:family w:val="auto"/>
    <w:pitch w:val="default"/>
    <w:sig w:usb0="00000000" w:usb1="00000000" w:usb2="00000000" w:usb3="00000000" w:csb0="00000000" w:csb1="00000000"/>
    <w:embedRegular r:id="rId5" w:fontKey="{621EF188-F1A5-4CAF-A055-2CEB79F482B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embedRegular r:id="rId6" w:fontKey="{70506C78-C49F-41F8-8AC3-7F1BB44347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 xml:space="preserve">发布     </w: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112212"/>
    <w:rsid w:val="1D597863"/>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image" Target="media/image4.GIF"/><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10</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2023-11-09T09:22:06Z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C7FC87E0535147948B212CF43F254348_13</vt:lpwstr>
  </property>
</Properties>
</file>