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center"/>
        <w:textAlignment w:val="auto"/>
        <w:rPr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center"/>
        <w:textAlignment w:val="auto"/>
        <w:rPr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center"/>
        <w:textAlignment w:val="auto"/>
        <w:rPr>
          <w:rFonts w:hint="default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</w:pPr>
      <w:bookmarkStart w:id="0" w:name="_GoBack"/>
      <w:r>
        <w:rPr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  <w:t>省委办公厅省政府办公厅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center"/>
        <w:textAlignment w:val="auto"/>
        <w:rPr>
          <w:rFonts w:hint="default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  <w:t>印发《关于加强磷石膏综合治理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center"/>
        <w:textAlignment w:val="auto"/>
        <w:rPr>
          <w:rFonts w:hint="default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44"/>
          <w:szCs w:val="44"/>
          <w:shd w:val="clear" w:fill="FFFFFF"/>
        </w:rPr>
        <w:t>促进磷化工产业高质量发展的意见》的通知</w:t>
      </w:r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</w:t>
      </w: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鄂办发〔2021〕33号）</w:t>
      </w:r>
    </w:p>
    <w:p>
      <w:pPr>
        <w:pStyle w:val="7"/>
        <w:keepNext w:val="0"/>
        <w:keepLines w:val="0"/>
        <w:widowControl/>
        <w:suppressLineNumbers w:val="0"/>
        <w:spacing w:line="420" w:lineRule="atLeast"/>
        <w:ind w:left="0" w:firstLine="360"/>
        <w:jc w:val="center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18"/>
          <w:szCs w:val="18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襄阳、宜昌、荆门、荆州、孝感、黄冈等市政府，省直有关部门：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为贯彻落实《省委办公厅省政府办公厅印发&lt;关于加强磷石膏综合治理促进磷化工产业高质量发展的意见&gt;的通知》(鄂办发〔2021〕33号，以下简称《意见》)精神，确保各项政策措施落地落实，经省人民政府同意，现将有关事项通知如下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一、提高政治站位，切实增强做好《意见》落实工作的责任感使命感。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磷资源是战略性非金属矿物资源，加强磷石膏综合治理、促进磷化工产业高质量发展责任重大、任务艰巨，事关中央生态环保督察问题整改落实，事关全省磷化工产业转型升级高质量发展。各地各部门要深入贯彻习近平生态文明思想，坚决扛起共抓长江大保护的政治责任，加快经济社会发展全面绿色转型，让美丽湖北、绿色崛起成为湖北高质量发展的底色， 以高度的政治自觉、强烈的责任担当，谋定快动、真抓实干，确保《意见》明确的各项重点工作落实落地、见功见效。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二、细化分解任务，着力构建协同配合、齐抓共管的责任闭环。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各地各部门要抓紧细化分解承担的任务，建立健全工作推进体系、责任体系。各牵头单位、责任单位要尽快制定有针对性、可操作、可评估的实施方案，明确时间表和路线图，确保各项任务细化到岗位、具化到项目、量化到个人，逐条逐项建立工作台账，项目化、清单化推动落实，形成责任闭环。建 立“月调度、半年督办、年终考核”和交账销号工作推进机制，形成省市县“上下联动、部门协作、政企协同、齐抓共管”工作格局，确保各项重点工作顺利推进、高效落实。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三、狠抓督办落实，确保各项政策措施和工作任务落地见效。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各地各部门要切实强化政治意识、宗旨意识、法治意识、落实意识，保持“拼、抢、实”的状态和作风，切实履职尽责，坚持问题导向、目标导向、效果导向，倒排工期、挂图作战。要责任上肩，建机制、抓实效，创造性推进工作，用改革的办法攻坚克难，强力推进所承担工作的落地落实。要加强工作督办，督任务、督进度、督成效，建立专项督查考评机制，构建可考核、能量化、动态性的考核评价体系。坚持抓好正反两方面典型，对行动迟缓、进展落后的该通报的通报、该约谈的约谈、该调度的调度，通过强有力的工作机制，传导压力、鞭策后进、推动落实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附件：1.《关于加强磷石膏综合治理促进磷化工产业高质量发展的意见》重点工作责任分解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1600" w:firstLineChars="5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2.2022年重点工作任务清单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840" w:rightChars="400" w:firstLine="640" w:firstLineChars="200"/>
        <w:jc w:val="righ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湖北省经济和信息化厅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840" w:rightChars="400" w:firstLine="640" w:firstLineChars="200"/>
        <w:jc w:val="righ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2022年3月15日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附件1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720" w:firstLineChars="200"/>
        <w:jc w:val="center"/>
        <w:textAlignment w:val="auto"/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36"/>
          <w:szCs w:val="36"/>
          <w:u w:val="none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36"/>
          <w:szCs w:val="36"/>
          <w:u w:val="none"/>
          <w:shd w:val="clear" w:fill="FFFFFF"/>
        </w:rPr>
        <w:t>《关于加强磷石膏综合治理促进磷化工产业高质量发展的意见》重点工作责任分解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一、推进磷石膏系统化治理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(一)推动产、消动态平衡。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.加强磷矿的流向管理，将磷矿采选、磷矿供应与磷石膏产生企业的磷酸生产、磷石膏无害化处理、磷石膏综合利用、磷石膏库安全环保监管等挂钩，促进企业优化生产工艺、加大技术投入、节约集约用地用矿，推进磷石膏源头减量。(牵头单位：省自然资源厅、省经信厅，责任单位：省发改委、省生态环境厅、省应急厅，相关市、县，以下均需相关市、县落实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2.建好用好磷石膏信息化平台，实现磷石膏产生、流向、堆存、利用、处置等信息全程监控和可追溯、可查询。(牵头单位：省生态环境厅，责任单位：省经信厅、省自然资源厅，省发改委、省应急厅)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(二)加强磷矿开采管理。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3.严格源头管控，合理确定全省磷矿采矿权总数、开采总量。(牵头单位：省自然资源厅，责任单位：省经信厅、省发改委)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4.推进磷矿“采、选、加”一体化，将年度开采指标向大中型磷矿和磷化工龙头企业集中、向高端产能集聚。鼓励企业贫富兼采，推广新型选矿工艺，支持磷矿企业开展坑口物理选矿，推行梯级开发利用磷矿资源，实行坑口高效送矿、尾矿及时回填，加大中低品位磷矿利用，提升磷资源综合利用效率。(牵头单位：省自然资源厅，责任单位：省经信厅、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5.加快磷矿绿色转型升级，加强矿山安全生产、环境保护和生态修复，严格监督落实矿山废水废渣排放及土地复垦方案，积极创建绿色矿山。(牵头单位：省自然资源厅，责任单位：省生态环境厅、省应急厅)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(三)推广绿色先进工艺。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6.推广半水—二水法、二水—半水法等磷酸生产绿色先进工艺，提高磷资源回收率，有效降低磷石膏中有害杂质，提升磷石膏品质，减少磷石膏产生量。(牵头单位：省经信厅，责任单位：省发改委)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7.促进工业互联网、大数据、云计算、人工智能等新技术与磷酸生产工艺技术深度融合，提升生产效率、产品质量和智能化水平，降低消耗、减少排放，实现绿色生产。(牵头单位：省经信厅，责任单位：省发改委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(四)全面推行磷石膏无害化处理。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8.所有湿法磷酸生产企业必须配套建设磷石膏无害化处理设施，到2025年底，新产生的磷石膏全部实施无害化处理，达到国家和省相关标准要求，从根本上消除磷石膏堆存安全环保 风险。(牵头单位：省经信厅，责任单位：省发改委、省生态环境厅、省应急厅)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(五)推进磷石青资源综合利用。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9.加快建立健全磷石膏制品及应用标准体系。(牵头单位：省市场监管局，责任单位：省住建厅、省交通运输厅、省农业农村厅、省乡村振兴局、省经信厅、省发改委、省生态环境厅)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10.积极对接相关产品质量标准与工程建设规范，推动将磷石膏综合利用产品纳入绿色建材产品认证范围。(牵头单位：省市场监管局，责任单位：省住建厅)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11.落实政府绿色采购政策。(牵头单位：省财政厅，责任单位：省住建厅、省交通运输厅、省农业农村厅、省乡村振兴局)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12.在满足设计、技术规范和使用功能要求的情况下，省直有关部门、各地要大力推进磷石膏综合利用产品在水泥生产(牵头单位：省经信厅、省发改委)、市政建设、建筑工程(牵头单位：省住建厅)、道路交通(牵头单位：省交通运输厅)和乡村振兴(牵头单位：省农业农村厅、省乡村振兴局)等领域的推广应用，建设一批规模大、附加值高的磷石膏综合利用产业化示范项目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(六)严格执行磷石膏库选址、建设、堆存收税(费)和监管制度。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13.实施磷石膏库总数动态平衡，新建磷石膏库必须严格执行“三个一律”。(牵头单位：省应急厅，责任单位：省生态环境厅、省自然资源厅)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14.新建磷石膏库严格执行土地集约节约使用、地质灾害危 险性评估(牵头单位：省自然资源厅)、环境影响评价(牵头单位：省生态环境厅)和安全(牵头单位：省应急厅)、环保设施 (牵头单位：省生态环境厅)"三同时"等审批制度，切实做到防渗漏、防扬尘、防地质灾害、防安全事故。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15.依法依规对磷石膏堆存征税。(牵头单位：省财政厅，责任单位：省生态环境厅、省税务局、省经信厅、省自然资源厅、省应急厅、省发改委)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16.切实加强磷石膏库安全监管。严格执行磷石膏库安全环保标准和规定，实施磷石膏库安全环保设施改造升级，加大磷石膏库的风险隐患排查治理力度，强化在线监测监管，严防磷石膏库渗漏带来的安全环保风险。(牵头单位：省应急厅，责任单位：省生态环境厅)。对已闭库的磷石膏库，按照国家相关法律法规严格监管。(牵头单位：省应急厅，责任单位：省生态环境厅、省自然资源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二、推动磷化工全产业链高质量发展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(一)推动集群化布局，提高综合实力。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17.依法依规对没有采矿权、产品中低端、排放较高且磷石膏综合治理能力差的“小散乱污”企业实施淘汰退出。(牵头单位：省经信厅，责任单位：省发改委、省自然资源厅、省生态环境厅、省应急厅)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18.鼓励企业强强联合成立特大型、综合性、跨行业的企业集团，发挥龙头企业带动作用，推动磷化工产业链上下游协同 发展、集聚发展，拉长产业链，强化创新链，力争省内前5家磷肥企业产能集中度达到70%以上，形成一批具有国际竞争力的行业领军企业。(牵头单位：省发改委、省政府国资委，责任单位：省经信厅)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19.培育发展更多“专精特新”磷化工企业。(牵头单位：省经信厅)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(二)加快绿色化转型，激发发展动能。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20.支持磷化工企业应用节水、节能、降耗等先进工艺技术和装备开展新一轮技术改造，积极引导磷化工企业应用先进数控技术、工业机器人等智能化装备，创建智能示范车间、智能工厂。(牵头单位：省经信厅，责任单位：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21.支持化工园区加强信息化基础设施建设，打造智慧化工园区，创建国家新型工业化产业基地。(牵头单位：省经信厅，责任单位：省发改委)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22.推动磷化工绿色制造体系建设，鼓励磷化工企业通过技术创新、装备改良、系统优化，实现能源高效利用和清洁生产，打造一批具有示范带动作用的绿色产品、绿色供应链、绿色工厂和绿色园区。(牵头单位：省经信厅，责任单位：省发改委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(三)突出高端化发展，提升产业层级。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23.实施产业技术攻关，集中力量突破一批制约产业高质量发展的重大关键技术与装备。(牵头单位：省科技厅，责任单位：省发改委、省经信厅)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24.引导支持磷化工企业开发具有特种功能和专用性的精细磷化工产品。(牵头单位：省发改委、省经信厅)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</w:rPr>
        <w:t>三、加大政策扶持力度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(一)加大关键技术创新扶持。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25.重点支持研发新型磷矿选矿工艺及装备技术、中低品位磷矿资源开发利用、清洁生产技术改造、湿法磷酸深度净化技术、磷石膏大量化应用技术、磷石膏无害化处理技术等，通过揭榜挂帅、协同攻关等方式，对取得重大突破的工艺、技术、装备并实现产业化的实施重奖，切实提升磷化工产业基础高级化、产业链现代化水平。(牵头单位：省经信厅，责任单位：省科技厅、省发改委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26.建立以优势磷化工企业为主体的产学研用协同创新体 系，支持湖北三峡实验室、长江资源循环利用及装备创新中心等一批创新平台建设，积极培育打造一批国家级、省级磷石膏资源综合利用创新中心和试点示范平台，力争突破磷石膏无害 化处理、规模化利用瓶颈。(牵头单位：省科技厅，责任单位：省经信厅、省发改委)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(二)加大财税金融支持。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27.省级财政每年统筹专项资金1亿元，宜昌、襄阳、荆门、黄冈、荆州、孝感等地方财政每年合计按不低于1:1比例配套安排专项资金，专项用于支持磷化工高质量发展、磷石膏资源综合利用和创新平台建设。(牵头单位：省财政厅、有关市人民政府，责任单位：省经信厅、省科技厅、省发改委、省市场监管局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28.依法依规执行磷化工高质量发展及磷石膏综合利用的税收政策。(牵头单位：省税务局，责任单位：省财政厅)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29.加大金融支持力度。(牵头单位：省地方金融监管局，责任单位：人行武汉分行)</w:t>
      </w:r>
    </w:p>
    <w:p>
      <w:pPr>
        <w:pStyle w:val="7"/>
        <w:keepNext w:val="0"/>
        <w:keepLines w:val="0"/>
        <w:widowControl/>
        <w:suppressLineNumbers w:val="0"/>
        <w:spacing w:line="420" w:lineRule="atLeast"/>
        <w:ind w:left="0" w:firstLine="360"/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962" w:right="1474" w:bottom="1848" w:left="1587" w:header="851" w:footer="992" w:gutter="0"/>
          <w:pgNumType w:fmt="numberInDash"/>
          <w:cols w:space="0" w:num="1"/>
          <w:rtlGutter w:val="0"/>
          <w:docGrid w:type="lines" w:linePitch="312" w:charSpace="0"/>
        </w:sectPr>
      </w:pPr>
    </w:p>
    <w:p>
      <w:pPr>
        <w:pStyle w:val="7"/>
        <w:keepNext w:val="0"/>
        <w:keepLines w:val="0"/>
        <w:widowControl/>
        <w:suppressLineNumbers w:val="0"/>
        <w:spacing w:line="420" w:lineRule="atLeast"/>
        <w:ind w:left="0" w:firstLine="360"/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附件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2</w:t>
      </w:r>
    </w:p>
    <w:p>
      <w:pPr>
        <w:pStyle w:val="7"/>
        <w:keepNext w:val="0"/>
        <w:keepLines w:val="0"/>
        <w:widowControl/>
        <w:suppressLineNumbers w:val="0"/>
        <w:spacing w:line="420" w:lineRule="atLeast"/>
        <w:ind w:left="0" w:firstLine="411"/>
        <w:jc w:val="center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  <w:t>2022年重点工作任务清单</w:t>
      </w:r>
    </w:p>
    <w:tbl>
      <w:tblPr>
        <w:tblStyle w:val="11"/>
        <w:tblpPr w:leftFromText="180" w:rightFromText="180" w:vertAnchor="text" w:horzAnchor="page" w:tblpXSpec="center" w:tblpY="902"/>
        <w:tblOverlap w:val="never"/>
        <w:tblW w:w="1521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43"/>
        <w:gridCol w:w="8324"/>
        <w:gridCol w:w="3278"/>
        <w:gridCol w:w="15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2043" w:type="dxa"/>
            <w:vAlign w:val="top"/>
          </w:tcPr>
          <w:p>
            <w:pPr>
              <w:spacing w:before="180" w:line="219" w:lineRule="auto"/>
              <w:ind w:left="45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6"/>
                <w:sz w:val="28"/>
                <w:szCs w:val="28"/>
              </w:rPr>
              <w:t>牵头单位</w:t>
            </w:r>
          </w:p>
        </w:tc>
        <w:tc>
          <w:tcPr>
            <w:tcW w:w="8324" w:type="dxa"/>
            <w:vAlign w:val="top"/>
          </w:tcPr>
          <w:p>
            <w:pPr>
              <w:spacing w:before="182" w:line="219" w:lineRule="auto"/>
              <w:ind w:left="3486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56"/>
                <w:sz w:val="28"/>
                <w:szCs w:val="28"/>
              </w:rPr>
              <w:t>工作任务</w:t>
            </w:r>
          </w:p>
        </w:tc>
        <w:tc>
          <w:tcPr>
            <w:tcW w:w="3278" w:type="dxa"/>
            <w:vAlign w:val="top"/>
          </w:tcPr>
          <w:p>
            <w:pPr>
              <w:spacing w:before="182" w:line="219" w:lineRule="auto"/>
              <w:ind w:left="108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  <w:sz w:val="28"/>
                <w:szCs w:val="28"/>
              </w:rPr>
              <w:t>责任单位</w:t>
            </w:r>
          </w:p>
        </w:tc>
        <w:tc>
          <w:tcPr>
            <w:tcW w:w="1574" w:type="dxa"/>
            <w:vAlign w:val="top"/>
          </w:tcPr>
          <w:p>
            <w:pPr>
              <w:spacing w:before="182" w:line="219" w:lineRule="auto"/>
              <w:ind w:left="103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完成时限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2043" w:type="dxa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5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省经信厅</w:t>
            </w:r>
          </w:p>
        </w:tc>
        <w:tc>
          <w:tcPr>
            <w:tcW w:w="8324" w:type="dxa"/>
            <w:vAlign w:val="top"/>
          </w:tcPr>
          <w:p>
            <w:pPr>
              <w:spacing w:before="192" w:line="219" w:lineRule="auto"/>
              <w:ind w:left="12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制定《意见》的责任分解及2022年重点工作任务清单。</w:t>
            </w:r>
          </w:p>
        </w:tc>
        <w:tc>
          <w:tcPr>
            <w:tcW w:w="3278" w:type="dxa"/>
            <w:vAlign w:val="top"/>
          </w:tcPr>
          <w:p>
            <w:pPr>
              <w:spacing w:before="192" w:line="219" w:lineRule="auto"/>
              <w:ind w:left="798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省直有关部门</w:t>
            </w:r>
          </w:p>
        </w:tc>
        <w:tc>
          <w:tcPr>
            <w:tcW w:w="1574" w:type="dxa"/>
            <w:vAlign w:val="top"/>
          </w:tcPr>
          <w:p>
            <w:pPr>
              <w:spacing w:before="192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3月底前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7" w:hRule="atLeast"/>
          <w:jc w:val="center"/>
        </w:trPr>
        <w:tc>
          <w:tcPr>
            <w:tcW w:w="204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313" w:line="290" w:lineRule="auto"/>
              <w:ind w:left="121" w:right="53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研究制定我省磷石膏综合利用的年度目标管控方案，向相关地市下</w:t>
            </w:r>
            <w:r>
              <w:rPr>
                <w:rFonts w:ascii="宋体" w:hAnsi="宋体" w:eastAsia="宋体" w:cs="宋体"/>
                <w:spacing w:val="17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8"/>
                <w:szCs w:val="28"/>
              </w:rPr>
              <w:t>达2022年磷石膏综合利用年度目标任务。根据国家相关要求，结</w:t>
            </w: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合我省实际，2022-2025年，我省磷石膏综合利用率分别按</w:t>
            </w: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不低于</w:t>
            </w:r>
          </w:p>
          <w:p>
            <w:pPr>
              <w:spacing w:line="219" w:lineRule="auto"/>
              <w:ind w:left="12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50%、55%、60%、65%下达年度目标任务。</w:t>
            </w:r>
          </w:p>
        </w:tc>
        <w:tc>
          <w:tcPr>
            <w:tcW w:w="3278" w:type="dxa"/>
            <w:vAlign w:val="top"/>
          </w:tcPr>
          <w:p>
            <w:pPr>
              <w:spacing w:line="44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23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省住建厅、省交通运输</w:t>
            </w:r>
          </w:p>
          <w:p>
            <w:pPr>
              <w:spacing w:before="105" w:line="219" w:lineRule="auto"/>
              <w:ind w:left="9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厅、省农业农村厅、省乡</w:t>
            </w:r>
          </w:p>
          <w:p>
            <w:pPr>
              <w:spacing w:before="107" w:line="219" w:lineRule="auto"/>
              <w:ind w:left="23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村振兴局，相关市、县</w:t>
            </w:r>
          </w:p>
        </w:tc>
        <w:tc>
          <w:tcPr>
            <w:tcW w:w="1574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8" w:hRule="atLeast"/>
          <w:jc w:val="center"/>
        </w:trPr>
        <w:tc>
          <w:tcPr>
            <w:tcW w:w="204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325" w:line="440" w:lineRule="exact"/>
              <w:ind w:left="12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8"/>
                <w:position w:val="12"/>
                <w:sz w:val="27"/>
                <w:szCs w:val="27"/>
              </w:rPr>
              <w:t>全面推行磷石膏无害化处理。牵头制定磷石膏无害化处理暂行技术</w:t>
            </w:r>
          </w:p>
          <w:p>
            <w:pPr>
              <w:spacing w:line="225" w:lineRule="auto"/>
              <w:ind w:left="12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2"/>
                <w:sz w:val="27"/>
                <w:szCs w:val="27"/>
              </w:rPr>
              <w:t>规程，下达相关地市磷石膏无害化处理设施建设分年度任务清单。</w:t>
            </w:r>
          </w:p>
        </w:tc>
        <w:tc>
          <w:tcPr>
            <w:tcW w:w="327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88" w:line="440" w:lineRule="exact"/>
              <w:ind w:left="127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29"/>
                <w:position w:val="12"/>
                <w:sz w:val="27"/>
                <w:szCs w:val="27"/>
              </w:rPr>
              <w:t>省发改委、省生态环境厅、省</w:t>
            </w:r>
          </w:p>
          <w:p>
            <w:pPr>
              <w:spacing w:line="226" w:lineRule="auto"/>
              <w:ind w:left="435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0"/>
                <w:sz w:val="27"/>
                <w:szCs w:val="27"/>
              </w:rPr>
              <w:t>应急厅、省市场监管局</w:t>
            </w:r>
          </w:p>
        </w:tc>
        <w:tc>
          <w:tcPr>
            <w:tcW w:w="1574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  <w:jc w:val="center"/>
        </w:trPr>
        <w:tc>
          <w:tcPr>
            <w:tcW w:w="204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258" w:line="225" w:lineRule="auto"/>
              <w:ind w:left="12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6"/>
                <w:sz w:val="27"/>
                <w:szCs w:val="27"/>
              </w:rPr>
              <w:t>编制完成《加强磷石膏综合治理和磷化工产业“十四五”发展规划》。</w:t>
            </w:r>
          </w:p>
        </w:tc>
        <w:tc>
          <w:tcPr>
            <w:tcW w:w="3278" w:type="dxa"/>
            <w:vAlign w:val="top"/>
          </w:tcPr>
          <w:p>
            <w:pPr>
              <w:spacing w:before="258" w:line="219" w:lineRule="auto"/>
              <w:ind w:left="107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省发改委</w:t>
            </w:r>
          </w:p>
        </w:tc>
        <w:tc>
          <w:tcPr>
            <w:tcW w:w="1574" w:type="dxa"/>
            <w:vAlign w:val="top"/>
          </w:tcPr>
          <w:p>
            <w:pPr>
              <w:spacing w:before="258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2" w:hRule="atLeast"/>
          <w:jc w:val="center"/>
        </w:trPr>
        <w:tc>
          <w:tcPr>
            <w:tcW w:w="20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247" w:line="274" w:lineRule="auto"/>
              <w:ind w:left="121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6"/>
                <w:sz w:val="27"/>
                <w:szCs w:val="27"/>
              </w:rPr>
              <w:t>推动磷化工绿色制造体系建设，支持磷化工企业应用节水、节能、降耗</w:t>
            </w: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7"/>
                <w:szCs w:val="27"/>
              </w:rPr>
              <w:t>等先进工艺技术和装备开展新一轮技术改造，实现能源高效利用和清洁</w:t>
            </w:r>
            <w:r>
              <w:rPr>
                <w:rFonts w:ascii="宋体" w:hAnsi="宋体" w:eastAsia="宋体" w:cs="宋体"/>
                <w:spacing w:val="4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7"/>
                <w:szCs w:val="27"/>
              </w:rPr>
              <w:t>生产，加快绿色化转型，激发发展动能。</w:t>
            </w:r>
          </w:p>
        </w:tc>
        <w:tc>
          <w:tcPr>
            <w:tcW w:w="3278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7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省发改委</w:t>
            </w:r>
          </w:p>
        </w:tc>
        <w:tc>
          <w:tcPr>
            <w:tcW w:w="1574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</w:p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</w:p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  <w:br w:type="page"/>
      </w:r>
    </w:p>
    <w:tbl>
      <w:tblPr>
        <w:tblStyle w:val="11"/>
        <w:tblW w:w="1520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33"/>
        <w:gridCol w:w="8334"/>
        <w:gridCol w:w="3278"/>
        <w:gridCol w:w="15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4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省发改委</w:t>
            </w:r>
          </w:p>
        </w:tc>
        <w:tc>
          <w:tcPr>
            <w:tcW w:w="8334" w:type="dxa"/>
            <w:vAlign w:val="top"/>
          </w:tcPr>
          <w:p>
            <w:pPr>
              <w:spacing w:before="136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0"/>
                <w:sz w:val="28"/>
                <w:szCs w:val="28"/>
              </w:rPr>
              <w:t>支持磷化工产业重点项目建设。</w:t>
            </w:r>
          </w:p>
        </w:tc>
        <w:tc>
          <w:tcPr>
            <w:tcW w:w="3278" w:type="dxa"/>
            <w:vAlign w:val="top"/>
          </w:tcPr>
          <w:p>
            <w:pPr>
              <w:spacing w:before="136" w:line="219" w:lineRule="auto"/>
              <w:ind w:left="105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省经信厅</w:t>
            </w:r>
          </w:p>
        </w:tc>
        <w:tc>
          <w:tcPr>
            <w:tcW w:w="1564" w:type="dxa"/>
            <w:vAlign w:val="top"/>
          </w:tcPr>
          <w:p>
            <w:pPr>
              <w:spacing w:before="136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9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34" w:type="dxa"/>
            <w:vAlign w:val="top"/>
          </w:tcPr>
          <w:p>
            <w:pPr>
              <w:spacing w:before="149" w:line="257" w:lineRule="auto"/>
              <w:ind w:left="122" w:right="69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制定促进磷化工产业集群化发展、提高产业集中度工作方案，力争</w:t>
            </w:r>
            <w:r>
              <w:rPr>
                <w:rFonts w:ascii="宋体" w:hAnsi="宋体" w:eastAsia="宋体" w:cs="宋体"/>
                <w:spacing w:val="11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8"/>
                <w:szCs w:val="28"/>
              </w:rPr>
              <w:t>实现到2025年省内前5家磷肥企业产能集中度达到70%以上的工</w:t>
            </w: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8"/>
                <w:szCs w:val="28"/>
              </w:rPr>
              <w:t>作目标。</w:t>
            </w:r>
          </w:p>
        </w:tc>
        <w:tc>
          <w:tcPr>
            <w:tcW w:w="3278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91" w:line="451" w:lineRule="exact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position w:val="12"/>
                <w:sz w:val="28"/>
                <w:szCs w:val="28"/>
              </w:rPr>
              <w:t>省政府国资委、省经信</w:t>
            </w:r>
          </w:p>
          <w:p>
            <w:pPr>
              <w:spacing w:line="219" w:lineRule="auto"/>
              <w:ind w:left="61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厅，相关市、县</w:t>
            </w:r>
          </w:p>
        </w:tc>
        <w:tc>
          <w:tcPr>
            <w:tcW w:w="1564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4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省科技厅</w:t>
            </w:r>
          </w:p>
        </w:tc>
        <w:tc>
          <w:tcPr>
            <w:tcW w:w="8334" w:type="dxa"/>
            <w:vAlign w:val="top"/>
          </w:tcPr>
          <w:p>
            <w:pPr>
              <w:spacing w:before="152" w:line="452" w:lineRule="exact"/>
              <w:ind w:left="122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0"/>
                <w:position w:val="13"/>
                <w:sz w:val="27"/>
                <w:szCs w:val="27"/>
              </w:rPr>
              <w:t>研究制定支持磷化工产业高质量发展、加快磷石膏资源综合利用共</w:t>
            </w:r>
          </w:p>
          <w:p>
            <w:pPr>
              <w:spacing w:line="187" w:lineRule="auto"/>
              <w:ind w:left="122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0"/>
                <w:sz w:val="27"/>
                <w:szCs w:val="27"/>
              </w:rPr>
              <w:t>性关键技术研发的政策措施。</w:t>
            </w:r>
          </w:p>
        </w:tc>
        <w:tc>
          <w:tcPr>
            <w:tcW w:w="3278" w:type="dxa"/>
            <w:vAlign w:val="top"/>
          </w:tcPr>
          <w:p>
            <w:pPr>
              <w:spacing w:before="303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省发改委、省经信厅</w:t>
            </w:r>
          </w:p>
        </w:tc>
        <w:tc>
          <w:tcPr>
            <w:tcW w:w="1564" w:type="dxa"/>
            <w:vAlign w:val="top"/>
          </w:tcPr>
          <w:p>
            <w:pPr>
              <w:spacing w:before="303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34" w:type="dxa"/>
            <w:vAlign w:val="top"/>
          </w:tcPr>
          <w:p>
            <w:pPr>
              <w:spacing w:before="82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研究支持湖北三峡实验室等一批创新平台建设的具体措施。</w:t>
            </w:r>
          </w:p>
        </w:tc>
        <w:tc>
          <w:tcPr>
            <w:tcW w:w="3278" w:type="dxa"/>
            <w:vAlign w:val="top"/>
          </w:tcPr>
          <w:p>
            <w:pPr>
              <w:spacing w:before="84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省发改委、省经信厅</w:t>
            </w:r>
          </w:p>
        </w:tc>
        <w:tc>
          <w:tcPr>
            <w:tcW w:w="1564" w:type="dxa"/>
            <w:vAlign w:val="top"/>
          </w:tcPr>
          <w:p>
            <w:pPr>
              <w:spacing w:before="144" w:line="194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4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省财政厅</w:t>
            </w:r>
          </w:p>
        </w:tc>
        <w:tc>
          <w:tcPr>
            <w:tcW w:w="8334" w:type="dxa"/>
            <w:vAlign w:val="top"/>
          </w:tcPr>
          <w:p>
            <w:pPr>
              <w:spacing w:before="125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0"/>
                <w:sz w:val="28"/>
                <w:szCs w:val="28"/>
              </w:rPr>
              <w:t>制定省级专项资金管理办法。</w:t>
            </w:r>
          </w:p>
        </w:tc>
        <w:tc>
          <w:tcPr>
            <w:tcW w:w="3278" w:type="dxa"/>
            <w:vAlign w:val="top"/>
          </w:tcPr>
          <w:p>
            <w:pPr>
              <w:spacing w:before="125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3"/>
                <w:sz w:val="28"/>
                <w:szCs w:val="28"/>
              </w:rPr>
              <w:t>省经信厅</w:t>
            </w:r>
          </w:p>
        </w:tc>
        <w:tc>
          <w:tcPr>
            <w:tcW w:w="1564" w:type="dxa"/>
            <w:vAlign w:val="top"/>
          </w:tcPr>
          <w:p>
            <w:pPr>
              <w:spacing w:before="125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8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34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完成磷石膏堆存征税(费)立法工作。</w:t>
            </w:r>
          </w:p>
        </w:tc>
        <w:tc>
          <w:tcPr>
            <w:tcW w:w="3278" w:type="dxa"/>
            <w:vAlign w:val="top"/>
          </w:tcPr>
          <w:p>
            <w:pPr>
              <w:spacing w:before="184" w:line="256" w:lineRule="auto"/>
              <w:ind w:left="107" w:right="59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1"/>
                <w:sz w:val="28"/>
                <w:szCs w:val="28"/>
              </w:rPr>
              <w:t>省生态环境厅、省税务</w:t>
            </w: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局、省经信厅、省自然资</w:t>
            </w:r>
            <w:r>
              <w:rPr>
                <w:rFonts w:ascii="宋体" w:hAnsi="宋体" w:eastAsia="宋体" w:cs="宋体"/>
                <w:spacing w:val="8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源厅、省应急厅、省发改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委，相关市、县</w:t>
            </w:r>
          </w:p>
        </w:tc>
        <w:tc>
          <w:tcPr>
            <w:tcW w:w="1564" w:type="dxa"/>
            <w:vAlign w:val="top"/>
          </w:tcPr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spacing w:line="32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9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34" w:type="dxa"/>
            <w:vAlign w:val="top"/>
          </w:tcPr>
          <w:p>
            <w:pPr>
              <w:spacing w:line="44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2"/>
                <w:sz w:val="28"/>
                <w:szCs w:val="28"/>
              </w:rPr>
              <w:t>落实政府绿色采购政策。</w:t>
            </w:r>
          </w:p>
        </w:tc>
        <w:tc>
          <w:tcPr>
            <w:tcW w:w="3278" w:type="dxa"/>
            <w:vAlign w:val="top"/>
          </w:tcPr>
          <w:p>
            <w:pPr>
              <w:spacing w:before="157" w:line="290" w:lineRule="auto"/>
              <w:ind w:left="107" w:right="41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5"/>
                <w:sz w:val="28"/>
                <w:szCs w:val="28"/>
              </w:rPr>
              <w:t>省住建厅、省交通运输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厅、省农业农村厅、省乡</w:t>
            </w:r>
          </w:p>
          <w:p>
            <w:pPr>
              <w:spacing w:line="192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1"/>
                <w:sz w:val="28"/>
                <w:szCs w:val="28"/>
              </w:rPr>
              <w:t>村振兴局</w:t>
            </w:r>
          </w:p>
        </w:tc>
        <w:tc>
          <w:tcPr>
            <w:tcW w:w="1564" w:type="dxa"/>
            <w:vAlign w:val="top"/>
          </w:tcPr>
          <w:p>
            <w:pPr>
              <w:spacing w:line="444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省自然资源厅</w:t>
            </w:r>
          </w:p>
        </w:tc>
        <w:tc>
          <w:tcPr>
            <w:tcW w:w="8334" w:type="dxa"/>
            <w:vAlign w:val="top"/>
          </w:tcPr>
          <w:p>
            <w:pPr>
              <w:spacing w:before="307" w:line="219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4"/>
                <w:sz w:val="28"/>
                <w:szCs w:val="28"/>
              </w:rPr>
              <w:t>制定2022-2025年全省磷矿采矿权总数、年度开采总量计划。</w:t>
            </w:r>
          </w:p>
        </w:tc>
        <w:tc>
          <w:tcPr>
            <w:tcW w:w="3278" w:type="dxa"/>
            <w:vAlign w:val="top"/>
          </w:tcPr>
          <w:p>
            <w:pPr>
              <w:spacing w:before="190" w:line="227" w:lineRule="auto"/>
              <w:ind w:left="107" w:right="5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省经信厅、省发改委，相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8"/>
                <w:szCs w:val="28"/>
              </w:rPr>
              <w:t>关市、县</w:t>
            </w:r>
          </w:p>
        </w:tc>
        <w:tc>
          <w:tcPr>
            <w:tcW w:w="1564" w:type="dxa"/>
            <w:vAlign w:val="top"/>
          </w:tcPr>
          <w:p>
            <w:pPr>
              <w:spacing w:before="309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4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34" w:type="dxa"/>
            <w:vAlign w:val="top"/>
          </w:tcPr>
          <w:p>
            <w:pPr>
              <w:spacing w:before="149" w:line="441" w:lineRule="exact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position w:val="11"/>
                <w:sz w:val="28"/>
                <w:szCs w:val="28"/>
              </w:rPr>
              <w:t>制定将磷矿年度开采指标向大中型磷矿和磷化工龙头企业集中、向</w:t>
            </w:r>
          </w:p>
          <w:p>
            <w:pPr>
              <w:spacing w:line="187" w:lineRule="auto"/>
              <w:ind w:left="12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4"/>
                <w:sz w:val="28"/>
                <w:szCs w:val="28"/>
              </w:rPr>
              <w:t>高端产能集聚的措施。</w:t>
            </w:r>
          </w:p>
        </w:tc>
        <w:tc>
          <w:tcPr>
            <w:tcW w:w="3278" w:type="dxa"/>
            <w:vAlign w:val="top"/>
          </w:tcPr>
          <w:p>
            <w:pPr>
              <w:spacing w:before="191" w:line="225" w:lineRule="auto"/>
              <w:ind w:left="107" w:right="5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省经信厅、省发改委，相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8"/>
                <w:szCs w:val="28"/>
              </w:rPr>
              <w:t>关市、县</w:t>
            </w:r>
          </w:p>
        </w:tc>
        <w:tc>
          <w:tcPr>
            <w:tcW w:w="1564" w:type="dxa"/>
            <w:vAlign w:val="top"/>
          </w:tcPr>
          <w:p>
            <w:pPr>
              <w:spacing w:before="310" w:line="219" w:lineRule="auto"/>
              <w:ind w:left="6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</w:p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  <w:br w:type="page"/>
      </w:r>
    </w:p>
    <w:tbl>
      <w:tblPr>
        <w:tblStyle w:val="11"/>
        <w:tblW w:w="1521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44"/>
        <w:gridCol w:w="8324"/>
        <w:gridCol w:w="3278"/>
        <w:gridCol w:w="15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  <w:jc w:val="center"/>
        </w:trPr>
        <w:tc>
          <w:tcPr>
            <w:tcW w:w="20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306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6"/>
                <w:sz w:val="28"/>
                <w:szCs w:val="28"/>
              </w:rPr>
              <w:t>加强磷矿矿山生态修复，积极推进绿色矿山创建。</w:t>
            </w:r>
          </w:p>
        </w:tc>
        <w:tc>
          <w:tcPr>
            <w:tcW w:w="3278" w:type="dxa"/>
            <w:vAlign w:val="top"/>
          </w:tcPr>
          <w:p>
            <w:pPr>
              <w:spacing w:before="116" w:line="450" w:lineRule="exact"/>
              <w:ind w:left="117"/>
              <w:rPr>
                <w:rFonts w:ascii="宋体" w:hAnsi="宋体" w:eastAsia="宋体" w:cs="宋体"/>
                <w:sz w:val="26"/>
                <w:szCs w:val="26"/>
              </w:rPr>
            </w:pPr>
            <w:r>
              <w:rPr>
                <w:rFonts w:ascii="宋体" w:hAnsi="宋体" w:eastAsia="宋体" w:cs="宋体"/>
                <w:spacing w:val="2"/>
                <w:position w:val="13"/>
                <w:sz w:val="26"/>
                <w:szCs w:val="26"/>
              </w:rPr>
              <w:t>省生态环境厅、省应急厅，</w:t>
            </w:r>
          </w:p>
          <w:p>
            <w:pPr>
              <w:spacing w:line="225" w:lineRule="auto"/>
              <w:ind w:left="117"/>
              <w:rPr>
                <w:rFonts w:ascii="宋体" w:hAnsi="宋体" w:eastAsia="宋体" w:cs="宋体"/>
                <w:sz w:val="26"/>
                <w:szCs w:val="26"/>
              </w:rPr>
            </w:pPr>
            <w:r>
              <w:rPr>
                <w:rFonts w:ascii="宋体" w:hAnsi="宋体" w:eastAsia="宋体" w:cs="宋体"/>
                <w:spacing w:val="11"/>
                <w:sz w:val="26"/>
                <w:szCs w:val="26"/>
              </w:rPr>
              <w:t>相关市、县</w:t>
            </w:r>
          </w:p>
        </w:tc>
        <w:tc>
          <w:tcPr>
            <w:tcW w:w="1564" w:type="dxa"/>
            <w:vAlign w:val="top"/>
          </w:tcPr>
          <w:p>
            <w:pPr>
              <w:spacing w:before="306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8" w:hRule="atLeast"/>
          <w:jc w:val="center"/>
        </w:trPr>
        <w:tc>
          <w:tcPr>
            <w:tcW w:w="2044" w:type="dxa"/>
            <w:vMerge w:val="restart"/>
            <w:tcBorders>
              <w:bottom w:val="nil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7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省生态环境厅</w:t>
            </w:r>
          </w:p>
        </w:tc>
        <w:tc>
          <w:tcPr>
            <w:tcW w:w="8324" w:type="dxa"/>
            <w:vAlign w:val="top"/>
          </w:tcPr>
          <w:p>
            <w:pPr>
              <w:spacing w:before="230" w:line="305" w:lineRule="auto"/>
              <w:ind w:left="131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建好用好磷石膏信息化平台，实现磷石膏产生</w:t>
            </w: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、流向、堆存、利用、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7"/>
                <w:szCs w:val="27"/>
              </w:rPr>
              <w:t>处置等信息全程监控和可追溯、可查询，定期发布磷石膏产生量、</w:t>
            </w:r>
          </w:p>
          <w:p>
            <w:pPr>
              <w:spacing w:line="226" w:lineRule="auto"/>
              <w:ind w:left="13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5"/>
                <w:sz w:val="27"/>
                <w:szCs w:val="27"/>
              </w:rPr>
              <w:t>处置能力、综合利用等信息。</w:t>
            </w:r>
          </w:p>
        </w:tc>
        <w:tc>
          <w:tcPr>
            <w:tcW w:w="3278" w:type="dxa"/>
            <w:vAlign w:val="top"/>
          </w:tcPr>
          <w:p>
            <w:pPr>
              <w:spacing w:before="252" w:line="279" w:lineRule="auto"/>
              <w:ind w:left="97" w:firstLine="19"/>
              <w:jc w:val="both"/>
              <w:rPr>
                <w:rFonts w:ascii="宋体" w:hAnsi="宋体" w:eastAsia="宋体" w:cs="宋体"/>
                <w:sz w:val="26"/>
                <w:szCs w:val="26"/>
              </w:rPr>
            </w:pPr>
            <w:r>
              <w:rPr>
                <w:rFonts w:ascii="宋体" w:hAnsi="宋体" w:eastAsia="宋体" w:cs="宋体"/>
                <w:spacing w:val="2"/>
                <w:sz w:val="26"/>
                <w:szCs w:val="26"/>
              </w:rPr>
              <w:t>省经信厅、省自然资源厅、</w:t>
            </w:r>
            <w:r>
              <w:rPr>
                <w:rFonts w:ascii="宋体" w:hAnsi="宋体" w:eastAsia="宋体" w:cs="宋体"/>
                <w:spacing w:val="3"/>
                <w:sz w:val="26"/>
                <w:szCs w:val="26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6"/>
                <w:szCs w:val="26"/>
              </w:rPr>
              <w:t>省发改委、省应急厅，相关</w:t>
            </w:r>
            <w:r>
              <w:rPr>
                <w:rFonts w:ascii="宋体" w:hAnsi="宋体" w:eastAsia="宋体" w:cs="宋体"/>
                <w:spacing w:val="5"/>
                <w:sz w:val="26"/>
                <w:szCs w:val="26"/>
              </w:rPr>
              <w:t xml:space="preserve">  </w:t>
            </w:r>
            <w:r>
              <w:rPr>
                <w:rFonts w:ascii="宋体" w:hAnsi="宋体" w:eastAsia="宋体" w:cs="宋体"/>
                <w:spacing w:val="17"/>
                <w:sz w:val="26"/>
                <w:szCs w:val="26"/>
              </w:rPr>
              <w:t>市、县</w:t>
            </w:r>
          </w:p>
        </w:tc>
        <w:tc>
          <w:tcPr>
            <w:tcW w:w="1564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8" w:hRule="atLeast"/>
          <w:jc w:val="center"/>
        </w:trPr>
        <w:tc>
          <w:tcPr>
            <w:tcW w:w="204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242" w:line="291" w:lineRule="auto"/>
              <w:ind w:left="131" w:right="46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8"/>
                <w:sz w:val="28"/>
                <w:szCs w:val="28"/>
              </w:rPr>
              <w:t>督促指导产生磷石膏的企业(单位)严格执行</w:t>
            </w: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磷石膏库环保标准和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规定，组织实施磷石膏库环保设施改造升级，严防磷石膏库渗漏安</w:t>
            </w:r>
          </w:p>
          <w:p>
            <w:pPr>
              <w:spacing w:line="220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3"/>
                <w:sz w:val="28"/>
                <w:szCs w:val="28"/>
              </w:rPr>
              <w:t>全环保风险。</w:t>
            </w:r>
          </w:p>
        </w:tc>
        <w:tc>
          <w:tcPr>
            <w:tcW w:w="3278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1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0"/>
                <w:sz w:val="28"/>
                <w:szCs w:val="28"/>
              </w:rPr>
              <w:t>相关市、县</w:t>
            </w:r>
          </w:p>
        </w:tc>
        <w:tc>
          <w:tcPr>
            <w:tcW w:w="1564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  <w:jc w:val="center"/>
        </w:trPr>
        <w:tc>
          <w:tcPr>
            <w:tcW w:w="2044" w:type="dxa"/>
            <w:vMerge w:val="restart"/>
            <w:tcBorders>
              <w:bottom w:val="nil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5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省住建厅</w:t>
            </w:r>
          </w:p>
        </w:tc>
        <w:tc>
          <w:tcPr>
            <w:tcW w:w="8324" w:type="dxa"/>
            <w:vAlign w:val="top"/>
          </w:tcPr>
          <w:p>
            <w:pPr>
              <w:spacing w:before="265" w:line="441" w:lineRule="exact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9"/>
                <w:position w:val="11"/>
                <w:sz w:val="28"/>
                <w:szCs w:val="28"/>
              </w:rPr>
              <w:t>制定推进磷石膏制品在市政建设、建筑工程等领域的推广应</w:t>
            </w:r>
            <w:r>
              <w:rPr>
                <w:rFonts w:ascii="宋体" w:hAnsi="宋体" w:eastAsia="宋体" w:cs="宋体"/>
                <w:spacing w:val="8"/>
                <w:position w:val="11"/>
                <w:sz w:val="28"/>
                <w:szCs w:val="28"/>
              </w:rPr>
              <w:t>用方</w:t>
            </w:r>
          </w:p>
          <w:p>
            <w:pPr>
              <w:spacing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案，制定年度推广应用计划并组织实施。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04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134" w:line="242" w:lineRule="auto"/>
              <w:ind w:left="130" w:right="59" w:hanging="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研究制定磷石膏制品在市政建设、建筑工程等领域应用标准和技术</w:t>
            </w:r>
            <w:r>
              <w:rPr>
                <w:rFonts w:ascii="宋体" w:hAnsi="宋体" w:eastAsia="宋体" w:cs="宋体"/>
                <w:spacing w:val="12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28"/>
                <w:sz w:val="28"/>
                <w:szCs w:val="28"/>
              </w:rPr>
              <w:t>应用规范。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before="307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  <w:jc w:val="center"/>
        </w:trPr>
        <w:tc>
          <w:tcPr>
            <w:tcW w:w="2044" w:type="dxa"/>
            <w:vMerge w:val="restart"/>
            <w:tcBorders>
              <w:bottom w:val="nil"/>
            </w:tcBorders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7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省交通运输厅</w:t>
            </w:r>
          </w:p>
        </w:tc>
        <w:tc>
          <w:tcPr>
            <w:tcW w:w="8324" w:type="dxa"/>
            <w:vAlign w:val="top"/>
          </w:tcPr>
          <w:p>
            <w:pPr>
              <w:spacing w:before="227" w:line="451" w:lineRule="exact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position w:val="12"/>
                <w:sz w:val="28"/>
                <w:szCs w:val="28"/>
              </w:rPr>
              <w:t>制定推进磷石膏制品在公路等领域的推广应用政策措施，明确年度</w:t>
            </w:r>
          </w:p>
          <w:p>
            <w:pPr>
              <w:spacing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1"/>
                <w:sz w:val="28"/>
                <w:szCs w:val="28"/>
              </w:rPr>
              <w:t>推广应用计划并组织实施。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jc w:val="center"/>
        </w:trPr>
        <w:tc>
          <w:tcPr>
            <w:tcW w:w="204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177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研究制定磷石膏制品在公路等领域的应用标准和技术应用规范。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before="179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2044" w:type="dxa"/>
            <w:vMerge w:val="restart"/>
            <w:tcBorders>
              <w:bottom w:val="nil"/>
            </w:tcBorders>
            <w:vAlign w:val="top"/>
          </w:tcPr>
          <w:p>
            <w:pPr>
              <w:spacing w:before="198" w:line="219" w:lineRule="auto"/>
              <w:ind w:left="17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省农业农村厅</w:t>
            </w:r>
          </w:p>
          <w:p>
            <w:pPr>
              <w:spacing w:before="113" w:line="219" w:lineRule="auto"/>
              <w:ind w:left="17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1"/>
                <w:sz w:val="28"/>
                <w:szCs w:val="28"/>
              </w:rPr>
              <w:t>省乡村振兴局</w:t>
            </w:r>
          </w:p>
        </w:tc>
        <w:tc>
          <w:tcPr>
            <w:tcW w:w="8324" w:type="dxa"/>
            <w:vAlign w:val="top"/>
          </w:tcPr>
          <w:p>
            <w:pPr>
              <w:spacing w:before="148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制定推进磷石膏制品在乡村振兴等领域推广应用的政策措施。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before="150" w:line="219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  <w:jc w:val="center"/>
        </w:trPr>
        <w:tc>
          <w:tcPr>
            <w:tcW w:w="204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91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8"/>
                <w:sz w:val="28"/>
                <w:szCs w:val="28"/>
              </w:rPr>
              <w:t>制定年度推广应用计划并组织实施。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before="150" w:line="194" w:lineRule="auto"/>
              <w:ind w:left="1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</w:p>
    <w:tbl>
      <w:tblPr>
        <w:tblStyle w:val="11"/>
        <w:tblW w:w="1520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43"/>
        <w:gridCol w:w="8324"/>
        <w:gridCol w:w="3278"/>
        <w:gridCol w:w="15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4" w:hRule="atLeast"/>
          <w:jc w:val="center"/>
        </w:trPr>
        <w:tc>
          <w:tcPr>
            <w:tcW w:w="2043" w:type="dxa"/>
            <w:vMerge w:val="restart"/>
            <w:tcBorders>
              <w:bottom w:val="nil"/>
            </w:tcBorders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5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省应急厅</w:t>
            </w:r>
          </w:p>
        </w:tc>
        <w:tc>
          <w:tcPr>
            <w:tcW w:w="8324" w:type="dxa"/>
            <w:vAlign w:val="top"/>
          </w:tcPr>
          <w:p>
            <w:pPr>
              <w:spacing w:before="235" w:line="442" w:lineRule="exact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position w:val="11"/>
                <w:sz w:val="28"/>
                <w:szCs w:val="28"/>
              </w:rPr>
              <w:t>制定实施磷石膏库总数动态平衡，新建磷石膏库科学化选址和标准</w:t>
            </w:r>
          </w:p>
          <w:p>
            <w:pPr>
              <w:spacing w:line="220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化建设的具体措施。</w:t>
            </w:r>
          </w:p>
        </w:tc>
        <w:tc>
          <w:tcPr>
            <w:tcW w:w="3278" w:type="dxa"/>
            <w:vAlign w:val="top"/>
          </w:tcPr>
          <w:p>
            <w:pPr>
              <w:spacing w:before="236" w:line="460" w:lineRule="exact"/>
              <w:ind w:left="107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7"/>
                <w:position w:val="13"/>
                <w:sz w:val="27"/>
                <w:szCs w:val="27"/>
              </w:rPr>
              <w:t>省生态环境厅、省自然资源</w:t>
            </w:r>
          </w:p>
          <w:p>
            <w:pPr>
              <w:spacing w:line="226" w:lineRule="auto"/>
              <w:ind w:left="107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0"/>
                <w:sz w:val="27"/>
                <w:szCs w:val="27"/>
              </w:rPr>
              <w:t>厅，相关市、县</w:t>
            </w:r>
          </w:p>
        </w:tc>
        <w:tc>
          <w:tcPr>
            <w:tcW w:w="1564" w:type="dxa"/>
            <w:vAlign w:val="top"/>
          </w:tcPr>
          <w:p>
            <w:pPr>
              <w:spacing w:line="323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20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210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>制定加强磷石膏库安全监管具体措施，切实做到防安全事故。</w:t>
            </w:r>
          </w:p>
        </w:tc>
        <w:tc>
          <w:tcPr>
            <w:tcW w:w="3278" w:type="dxa"/>
            <w:vAlign w:val="top"/>
          </w:tcPr>
          <w:p>
            <w:pPr>
              <w:spacing w:before="212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0"/>
                <w:sz w:val="28"/>
                <w:szCs w:val="28"/>
              </w:rPr>
              <w:t>相关市、县</w:t>
            </w:r>
          </w:p>
        </w:tc>
        <w:tc>
          <w:tcPr>
            <w:tcW w:w="1564" w:type="dxa"/>
            <w:vAlign w:val="top"/>
          </w:tcPr>
          <w:p>
            <w:pPr>
              <w:spacing w:before="212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8" w:hRule="atLeast"/>
          <w:jc w:val="center"/>
        </w:trPr>
        <w:tc>
          <w:tcPr>
            <w:tcW w:w="2043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78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6"/>
                <w:sz w:val="28"/>
                <w:szCs w:val="28"/>
              </w:rPr>
              <w:t>省政府国资委</w:t>
            </w:r>
          </w:p>
        </w:tc>
        <w:tc>
          <w:tcPr>
            <w:tcW w:w="8324" w:type="dxa"/>
            <w:vAlign w:val="top"/>
          </w:tcPr>
          <w:p>
            <w:pPr>
              <w:spacing w:before="272" w:line="294" w:lineRule="auto"/>
              <w:ind w:left="131" w:right="43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8"/>
                <w:sz w:val="28"/>
                <w:szCs w:val="28"/>
              </w:rPr>
              <w:t xml:space="preserve">制定发挥国有龙头磷化工企业带动作用，推动强强联合成立特大 </w:t>
            </w:r>
            <w:r>
              <w:rPr>
                <w:rFonts w:ascii="宋体" w:hAnsi="宋体" w:eastAsia="宋体" w:cs="宋体"/>
                <w:sz w:val="28"/>
                <w:szCs w:val="28"/>
              </w:rPr>
              <w:t>型、综合性、跨行业的企业集团的工作方案；明确年度目标和工作</w:t>
            </w:r>
          </w:p>
          <w:p>
            <w:pPr>
              <w:spacing w:line="220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8"/>
                <w:sz w:val="28"/>
                <w:szCs w:val="28"/>
              </w:rPr>
              <w:t>总目标</w:t>
            </w:r>
            <w:r>
              <w:rPr>
                <w:rFonts w:ascii="宋体" w:hAnsi="宋体" w:eastAsia="宋体" w:cs="宋体"/>
                <w:spacing w:val="-73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28"/>
                <w:sz w:val="28"/>
                <w:szCs w:val="28"/>
              </w:rPr>
              <w:t>。</w:t>
            </w:r>
          </w:p>
        </w:tc>
        <w:tc>
          <w:tcPr>
            <w:tcW w:w="3278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省发改委、省经信厅</w:t>
            </w:r>
          </w:p>
        </w:tc>
        <w:tc>
          <w:tcPr>
            <w:tcW w:w="1564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9" w:hRule="atLeast"/>
          <w:jc w:val="center"/>
        </w:trPr>
        <w:tc>
          <w:tcPr>
            <w:tcW w:w="2043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7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4"/>
                <w:sz w:val="28"/>
                <w:szCs w:val="28"/>
              </w:rPr>
              <w:t>省市场监管局</w:t>
            </w:r>
          </w:p>
        </w:tc>
        <w:tc>
          <w:tcPr>
            <w:tcW w:w="8324" w:type="dxa"/>
            <w:vAlign w:val="top"/>
          </w:tcPr>
          <w:p>
            <w:pPr>
              <w:spacing w:before="264" w:line="251" w:lineRule="auto"/>
              <w:ind w:left="131" w:right="4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完成国家及各省市、行业协会已发布的磷石膏制品质量标准、磷石</w:t>
            </w:r>
            <w:r>
              <w:rPr>
                <w:rFonts w:ascii="宋体" w:hAnsi="宋体" w:eastAsia="宋体" w:cs="宋体"/>
                <w:spacing w:val="13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膏制品应用标准及工程建设规范的梳理工作。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204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before="214" w:line="219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6"/>
                <w:sz w:val="28"/>
                <w:szCs w:val="28"/>
              </w:rPr>
              <w:t>推动将磷石膏制品纳入绿色建材产品认证范围。</w:t>
            </w:r>
          </w:p>
        </w:tc>
        <w:tc>
          <w:tcPr>
            <w:tcW w:w="3278" w:type="dxa"/>
            <w:vAlign w:val="top"/>
          </w:tcPr>
          <w:p>
            <w:pPr>
              <w:spacing w:before="216" w:line="219" w:lineRule="auto"/>
              <w:ind w:left="10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省住建厅</w:t>
            </w:r>
          </w:p>
        </w:tc>
        <w:tc>
          <w:tcPr>
            <w:tcW w:w="1564" w:type="dxa"/>
            <w:vAlign w:val="top"/>
          </w:tcPr>
          <w:p>
            <w:pPr>
              <w:spacing w:before="216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7" w:hRule="atLeast"/>
          <w:jc w:val="center"/>
        </w:trPr>
        <w:tc>
          <w:tcPr>
            <w:tcW w:w="20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24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91" w:line="452" w:lineRule="exact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position w:val="12"/>
                <w:sz w:val="28"/>
                <w:szCs w:val="28"/>
              </w:rPr>
              <w:t>制定建立我省磷石膏制品及应用标准体系具体措施，明确年度目标</w:t>
            </w:r>
          </w:p>
          <w:p>
            <w:pPr>
              <w:spacing w:line="220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9"/>
                <w:sz w:val="28"/>
                <w:szCs w:val="28"/>
              </w:rPr>
              <w:t>和工作总目标。</w:t>
            </w:r>
          </w:p>
        </w:tc>
        <w:tc>
          <w:tcPr>
            <w:tcW w:w="3278" w:type="dxa"/>
            <w:vAlign w:val="top"/>
          </w:tcPr>
          <w:p>
            <w:pPr>
              <w:spacing w:before="139" w:line="280" w:lineRule="auto"/>
              <w:ind w:left="107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9"/>
                <w:sz w:val="27"/>
                <w:szCs w:val="27"/>
              </w:rPr>
              <w:t>省住建厅、省交通运输</w:t>
            </w:r>
            <w:r>
              <w:rPr>
                <w:rFonts w:ascii="宋体" w:hAnsi="宋体" w:eastAsia="宋体" w:cs="宋体"/>
                <w:spacing w:val="1"/>
                <w:sz w:val="27"/>
                <w:szCs w:val="27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7"/>
                <w:szCs w:val="27"/>
              </w:rPr>
              <w:t>厅、省农业农村厅、省乡</w:t>
            </w:r>
            <w:r>
              <w:rPr>
                <w:rFonts w:ascii="宋体" w:hAnsi="宋体" w:eastAsia="宋体" w:cs="宋体"/>
                <w:spacing w:val="1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村振兴局、省经信厅、省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7"/>
                <w:szCs w:val="27"/>
              </w:rPr>
              <w:t>发改委、省生态环境厅，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相关市、县</w:t>
            </w:r>
          </w:p>
        </w:tc>
        <w:tc>
          <w:tcPr>
            <w:tcW w:w="1564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atLeast"/>
          <w:jc w:val="center"/>
        </w:trPr>
        <w:tc>
          <w:tcPr>
            <w:tcW w:w="2043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45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6"/>
                <w:sz w:val="28"/>
                <w:szCs w:val="28"/>
              </w:rPr>
              <w:t>省税务局</w:t>
            </w:r>
          </w:p>
        </w:tc>
        <w:tc>
          <w:tcPr>
            <w:tcW w:w="8324" w:type="dxa"/>
            <w:vAlign w:val="top"/>
          </w:tcPr>
          <w:p>
            <w:pPr>
              <w:spacing w:before="229" w:line="460" w:lineRule="exact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position w:val="13"/>
                <w:sz w:val="28"/>
                <w:szCs w:val="28"/>
              </w:rPr>
              <w:t>依法依规对磷石膏库占用土地征收耕地占用税和土地使用税，对堆</w:t>
            </w:r>
          </w:p>
          <w:p>
            <w:pPr>
              <w:spacing w:line="218" w:lineRule="auto"/>
              <w:ind w:left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9"/>
                <w:sz w:val="28"/>
                <w:szCs w:val="28"/>
              </w:rPr>
              <w:t>存磷石膏按标准收取环境保护税。</w:t>
            </w:r>
          </w:p>
        </w:tc>
        <w:tc>
          <w:tcPr>
            <w:tcW w:w="32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4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9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  <w:br w:type="page"/>
      </w:r>
    </w:p>
    <w:tbl>
      <w:tblPr>
        <w:tblStyle w:val="11"/>
        <w:tblW w:w="1520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33"/>
        <w:gridCol w:w="8314"/>
        <w:gridCol w:w="3288"/>
        <w:gridCol w:w="15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3" w:hRule="atLeast"/>
          <w:jc w:val="center"/>
        </w:trPr>
        <w:tc>
          <w:tcPr>
            <w:tcW w:w="2033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3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省地方金融</w:t>
            </w:r>
          </w:p>
          <w:p>
            <w:pPr>
              <w:spacing w:before="111" w:line="219" w:lineRule="auto"/>
              <w:ind w:left="58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8"/>
                <w:sz w:val="28"/>
                <w:szCs w:val="28"/>
              </w:rPr>
              <w:t>监管局</w:t>
            </w:r>
          </w:p>
        </w:tc>
        <w:tc>
          <w:tcPr>
            <w:tcW w:w="8314" w:type="dxa"/>
            <w:vAlign w:val="top"/>
          </w:tcPr>
          <w:p>
            <w:pPr>
              <w:spacing w:before="286" w:line="300" w:lineRule="auto"/>
              <w:ind w:left="142" w:right="20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通过加强银企对接，利用金融早春行、金融支持重大项目、金融支</w:t>
            </w:r>
            <w:r>
              <w:rPr>
                <w:rFonts w:ascii="宋体" w:hAnsi="宋体" w:eastAsia="宋体" w:cs="宋体"/>
                <w:spacing w:val="14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持中小微企业等对接机制或对接平台，引导金</w:t>
            </w:r>
            <w:r>
              <w:rPr>
                <w:rFonts w:ascii="宋体" w:hAnsi="宋体" w:eastAsia="宋体" w:cs="宋体"/>
                <w:sz w:val="28"/>
                <w:szCs w:val="28"/>
              </w:rPr>
              <w:t>融机构加大对磷石膏</w:t>
            </w:r>
          </w:p>
          <w:p>
            <w:pPr>
              <w:spacing w:line="219" w:lineRule="auto"/>
              <w:ind w:left="1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综合利用和磷化工产业发展的信贷支持。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8" w:hRule="atLeast"/>
          <w:jc w:val="center"/>
        </w:trPr>
        <w:tc>
          <w:tcPr>
            <w:tcW w:w="2033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before="91" w:line="220" w:lineRule="auto"/>
              <w:ind w:left="16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人行武汉分行</w:t>
            </w:r>
          </w:p>
        </w:tc>
        <w:tc>
          <w:tcPr>
            <w:tcW w:w="8314" w:type="dxa"/>
            <w:vAlign w:val="top"/>
          </w:tcPr>
          <w:p>
            <w:pPr>
              <w:spacing w:before="312" w:line="297" w:lineRule="auto"/>
              <w:ind w:left="142" w:right="18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积极做好政策设计和对接，探索将磷化工产业高质量发展纳入绿色</w:t>
            </w:r>
            <w:r>
              <w:rPr>
                <w:rFonts w:ascii="宋体" w:hAnsi="宋体" w:eastAsia="宋体" w:cs="宋体"/>
                <w:spacing w:val="11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金融、绿色信贷范围。引导金融机构加大对磷化工产</w:t>
            </w:r>
            <w:r>
              <w:rPr>
                <w:rFonts w:ascii="宋体" w:hAnsi="宋体" w:eastAsia="宋体" w:cs="宋体"/>
                <w:sz w:val="28"/>
                <w:szCs w:val="28"/>
              </w:rPr>
              <w:t>业转型发展和</w:t>
            </w:r>
          </w:p>
          <w:p>
            <w:pPr>
              <w:spacing w:line="219" w:lineRule="auto"/>
              <w:ind w:left="1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3"/>
                <w:sz w:val="28"/>
                <w:szCs w:val="28"/>
              </w:rPr>
              <w:t>绿色发展的信贷支持。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8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30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相关市、县</w:t>
            </w:r>
          </w:p>
        </w:tc>
        <w:tc>
          <w:tcPr>
            <w:tcW w:w="8314" w:type="dxa"/>
            <w:vAlign w:val="top"/>
          </w:tcPr>
          <w:p>
            <w:pPr>
              <w:spacing w:before="264" w:line="257" w:lineRule="auto"/>
              <w:ind w:left="142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统筹制定本地贯彻落实《意见》的工作方案，明确任务、工作目标</w:t>
            </w:r>
            <w:r>
              <w:rPr>
                <w:rFonts w:ascii="宋体" w:hAnsi="宋体" w:eastAsia="宋体" w:cs="宋体"/>
                <w:spacing w:val="1"/>
                <w:sz w:val="27"/>
                <w:szCs w:val="27"/>
              </w:rPr>
              <w:t>、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7"/>
                <w:szCs w:val="27"/>
              </w:rPr>
              <w:t>主体责任、监管责任和时限要求。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305" w:line="305" w:lineRule="auto"/>
              <w:ind w:left="142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按照“一企一策”的工作要求，指导和督促本地相关企业逐一制定磷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7"/>
                <w:szCs w:val="27"/>
              </w:rPr>
              <w:t>石膏综合治理方案，明确时间表、路线图，做到工作目标、推进措</w:t>
            </w:r>
          </w:p>
          <w:p>
            <w:pPr>
              <w:spacing w:line="226" w:lineRule="auto"/>
              <w:ind w:left="142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4"/>
                <w:sz w:val="27"/>
                <w:szCs w:val="27"/>
              </w:rPr>
              <w:t>施、完成时限、督办领导、责任单位、责任人等“六落实”。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453" w:lineRule="auto"/>
              <w:rPr>
                <w:rFonts w:ascii="Arial"/>
                <w:sz w:val="21"/>
              </w:rPr>
            </w:pPr>
          </w:p>
          <w:p>
            <w:pPr>
              <w:spacing w:before="91" w:line="440" w:lineRule="exact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8"/>
                <w:position w:val="11"/>
                <w:sz w:val="28"/>
                <w:szCs w:val="28"/>
              </w:rPr>
              <w:t>4月底前，</w:t>
            </w:r>
          </w:p>
          <w:p>
            <w:pPr>
              <w:spacing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8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258" w:line="263" w:lineRule="auto"/>
              <w:ind w:left="142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1"/>
                <w:sz w:val="27"/>
                <w:szCs w:val="27"/>
              </w:rPr>
              <w:t>每年按要求配套安排专项资金，专项用于支持磷化工高质量发展、</w:t>
            </w:r>
            <w:r>
              <w:rPr>
                <w:rFonts w:ascii="宋体" w:hAnsi="宋体" w:eastAsia="宋体" w:cs="宋体"/>
                <w:spacing w:val="8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7"/>
                <w:szCs w:val="27"/>
              </w:rPr>
              <w:t>磷石膏资源综合利用和创新平台建设。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190" w:line="451" w:lineRule="exact"/>
              <w:ind w:left="1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position w:val="12"/>
                <w:sz w:val="28"/>
                <w:szCs w:val="28"/>
              </w:rPr>
              <w:t>制定本地磷石膏综合利用2022-2025年度计划，督促企业完</w:t>
            </w:r>
            <w:r>
              <w:rPr>
                <w:rFonts w:ascii="宋体" w:hAnsi="宋体" w:eastAsia="宋体" w:cs="宋体"/>
                <w:spacing w:val="2"/>
                <w:position w:val="12"/>
                <w:sz w:val="28"/>
                <w:szCs w:val="28"/>
              </w:rPr>
              <w:t>成年度</w:t>
            </w:r>
          </w:p>
          <w:p>
            <w:pPr>
              <w:spacing w:line="219" w:lineRule="auto"/>
              <w:ind w:left="1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7"/>
                <w:sz w:val="28"/>
                <w:szCs w:val="28"/>
              </w:rPr>
              <w:t>目标任务。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12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4月底前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2" w:hRule="atLeast"/>
          <w:jc w:val="center"/>
        </w:trPr>
        <w:tc>
          <w:tcPr>
            <w:tcW w:w="20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315" w:line="311" w:lineRule="auto"/>
              <w:ind w:left="91" w:right="105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9"/>
                <w:sz w:val="27"/>
                <w:szCs w:val="27"/>
              </w:rPr>
              <w:t>制定本地磷石膏无害化处理设施建设的分年度任务清单，指导和督</w:t>
            </w:r>
            <w:r>
              <w:rPr>
                <w:rFonts w:ascii="宋体" w:hAnsi="宋体" w:eastAsia="宋体" w:cs="宋体"/>
                <w:spacing w:val="4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7"/>
                <w:szCs w:val="27"/>
              </w:rPr>
              <w:t>促企业配套建设磷石膏无害化处理设施，确保2025年前对新产生</w:t>
            </w:r>
          </w:p>
          <w:p>
            <w:pPr>
              <w:spacing w:line="218" w:lineRule="auto"/>
              <w:ind w:left="9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的磷石膏全部实施无害化处理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425" w:lineRule="auto"/>
              <w:rPr>
                <w:rFonts w:ascii="Arial"/>
                <w:sz w:val="21"/>
              </w:rPr>
            </w:pPr>
          </w:p>
          <w:p>
            <w:pPr>
              <w:spacing w:before="88" w:line="460" w:lineRule="exact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6"/>
                <w:position w:val="14"/>
                <w:sz w:val="27"/>
                <w:szCs w:val="27"/>
              </w:rPr>
              <w:t>4月底前，</w:t>
            </w:r>
          </w:p>
          <w:p>
            <w:pPr>
              <w:spacing w:line="219" w:lineRule="auto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8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312" w:line="274" w:lineRule="auto"/>
              <w:ind w:left="91" w:right="111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9"/>
                <w:sz w:val="27"/>
                <w:szCs w:val="27"/>
              </w:rPr>
              <w:t>制定本地推进磷石膏制品在水泥生产、市政建设、道路交通、建</w:t>
            </w:r>
            <w:r>
              <w:rPr>
                <w:rFonts w:ascii="宋体" w:hAnsi="宋体" w:eastAsia="宋体" w:cs="宋体"/>
                <w:spacing w:val="8"/>
                <w:sz w:val="27"/>
                <w:szCs w:val="27"/>
              </w:rPr>
              <w:t>筑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7"/>
                <w:szCs w:val="27"/>
              </w:rPr>
              <w:t>工程和乡村振兴等领域推广应用的政策措施，明确2022年度推广</w:t>
            </w:r>
            <w:r>
              <w:rPr>
                <w:rFonts w:ascii="宋体" w:hAnsi="宋体" w:eastAsia="宋体" w:cs="宋体"/>
                <w:spacing w:val="15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7"/>
                <w:szCs w:val="27"/>
              </w:rPr>
              <w:t>应用计划并组织实施。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463" w:lineRule="auto"/>
              <w:rPr>
                <w:rFonts w:ascii="Arial"/>
                <w:sz w:val="21"/>
              </w:rPr>
            </w:pPr>
          </w:p>
          <w:p>
            <w:pPr>
              <w:spacing w:before="87" w:line="430" w:lineRule="exact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6"/>
                <w:position w:val="11"/>
                <w:sz w:val="27"/>
                <w:szCs w:val="27"/>
              </w:rPr>
              <w:t>4月底前，</w:t>
            </w:r>
          </w:p>
          <w:p>
            <w:pPr>
              <w:spacing w:line="219" w:lineRule="auto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7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88" w:line="298" w:lineRule="auto"/>
              <w:ind w:left="131" w:right="110" w:hanging="40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8"/>
                <w:sz w:val="27"/>
                <w:szCs w:val="27"/>
              </w:rPr>
              <w:t>制定本地依法依规对没有采矿权、产品中低端、排放较高且</w:t>
            </w: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磷石膏</w:t>
            </w:r>
            <w:r>
              <w:rPr>
                <w:rFonts w:ascii="宋体" w:hAnsi="宋体" w:eastAsia="宋体" w:cs="宋体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综合治理能力差的"小散乱污"企业实施淘汰退出工作方案，明确年</w:t>
            </w:r>
          </w:p>
          <w:p>
            <w:pPr>
              <w:spacing w:line="219" w:lineRule="auto"/>
              <w:ind w:left="9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5"/>
                <w:sz w:val="27"/>
                <w:szCs w:val="27"/>
              </w:rPr>
              <w:t>度计划并组织实施。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line="465" w:lineRule="auto"/>
              <w:rPr>
                <w:rFonts w:ascii="Arial"/>
                <w:sz w:val="21"/>
              </w:rPr>
            </w:pPr>
          </w:p>
          <w:p>
            <w:pPr>
              <w:spacing w:before="87" w:line="450" w:lineRule="exact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6"/>
                <w:position w:val="13"/>
                <w:sz w:val="27"/>
                <w:szCs w:val="27"/>
              </w:rPr>
              <w:t>4月底前，</w:t>
            </w:r>
          </w:p>
          <w:p>
            <w:pPr>
              <w:spacing w:line="219" w:lineRule="auto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0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149" w:line="246" w:lineRule="auto"/>
              <w:ind w:left="91" w:right="107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9"/>
                <w:sz w:val="27"/>
                <w:szCs w:val="27"/>
              </w:rPr>
              <w:t>制定本地提高磷化工产业集中度的工作方案，明确年度计划并组织</w:t>
            </w: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7"/>
                <w:szCs w:val="27"/>
              </w:rPr>
              <w:t>实</w:t>
            </w:r>
            <w:r>
              <w:rPr>
                <w:rFonts w:ascii="宋体" w:hAnsi="宋体" w:eastAsia="宋体" w:cs="宋体"/>
                <w:spacing w:val="-30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7"/>
                <w:szCs w:val="27"/>
              </w:rPr>
              <w:t>施</w:t>
            </w:r>
            <w:r>
              <w:rPr>
                <w:rFonts w:ascii="宋体" w:hAnsi="宋体" w:eastAsia="宋体" w:cs="宋体"/>
                <w:spacing w:val="-40"/>
                <w:sz w:val="27"/>
                <w:szCs w:val="27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7"/>
                <w:szCs w:val="27"/>
              </w:rPr>
              <w:t>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before="148" w:line="430" w:lineRule="exact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6"/>
                <w:position w:val="11"/>
                <w:sz w:val="27"/>
                <w:szCs w:val="27"/>
              </w:rPr>
              <w:t>4月底前，</w:t>
            </w:r>
          </w:p>
          <w:p>
            <w:pPr>
              <w:spacing w:line="198" w:lineRule="auto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长期坚持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  <w:jc w:val="center"/>
        </w:trPr>
        <w:tc>
          <w:tcPr>
            <w:tcW w:w="20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314" w:type="dxa"/>
            <w:vAlign w:val="top"/>
          </w:tcPr>
          <w:p>
            <w:pPr>
              <w:spacing w:before="159" w:line="437" w:lineRule="exact"/>
              <w:ind w:left="91"/>
              <w:rPr>
                <w:rFonts w:ascii="宋体" w:hAnsi="宋体" w:eastAsia="宋体" w:cs="宋体"/>
                <w:sz w:val="26"/>
                <w:szCs w:val="26"/>
              </w:rPr>
            </w:pPr>
            <w:r>
              <w:rPr>
                <w:rFonts w:ascii="宋体" w:hAnsi="宋体" w:eastAsia="宋体" w:cs="宋体"/>
                <w:spacing w:val="19"/>
                <w:position w:val="12"/>
                <w:sz w:val="26"/>
                <w:szCs w:val="26"/>
              </w:rPr>
              <w:t>制定加强对磷石膏库安全环保监管具体措施，切实做到防渗漏、防</w:t>
            </w:r>
          </w:p>
          <w:p>
            <w:pPr>
              <w:spacing w:before="1" w:line="189" w:lineRule="auto"/>
              <w:ind w:left="91"/>
              <w:rPr>
                <w:rFonts w:ascii="宋体" w:hAnsi="宋体" w:eastAsia="宋体" w:cs="宋体"/>
                <w:sz w:val="26"/>
                <w:szCs w:val="26"/>
              </w:rPr>
            </w:pPr>
            <w:r>
              <w:rPr>
                <w:rFonts w:ascii="宋体" w:hAnsi="宋体" w:eastAsia="宋体" w:cs="宋体"/>
                <w:spacing w:val="18"/>
                <w:sz w:val="26"/>
                <w:szCs w:val="26"/>
              </w:rPr>
              <w:t>扬尘、防地质灾害、防安全事故。</w:t>
            </w:r>
          </w:p>
        </w:tc>
        <w:tc>
          <w:tcPr>
            <w:tcW w:w="328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4" w:type="dxa"/>
            <w:vAlign w:val="top"/>
          </w:tcPr>
          <w:p>
            <w:pPr>
              <w:spacing w:before="149" w:line="430" w:lineRule="exact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6"/>
                <w:position w:val="11"/>
                <w:sz w:val="27"/>
                <w:szCs w:val="27"/>
              </w:rPr>
              <w:t>4月底前，</w:t>
            </w:r>
          </w:p>
          <w:p>
            <w:pPr>
              <w:spacing w:line="194" w:lineRule="auto"/>
              <w:ind w:left="109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长期坚持</w:t>
            </w:r>
          </w:p>
        </w:tc>
      </w:tr>
    </w:tbl>
    <w:p>
      <w:pPr>
        <w:pStyle w:val="7"/>
        <w:keepNext w:val="0"/>
        <w:keepLines w:val="0"/>
        <w:widowControl/>
        <w:suppressLineNumbers w:val="0"/>
        <w:spacing w:line="420" w:lineRule="atLeast"/>
        <w:ind w:left="0" w:firstLine="411"/>
        <w:jc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6"/>
          <w:szCs w:val="36"/>
        </w:rPr>
        <w:sectPr>
          <w:pgSz w:w="19842" w:h="14173" w:orient="landscape"/>
          <w:pgMar w:top="1587" w:right="1962" w:bottom="1474" w:left="1848" w:header="851" w:footer="992" w:gutter="0"/>
          <w:paperSrc/>
          <w:pgNumType w:fmt="numberInDash"/>
          <w:cols w:space="0" w:num="1"/>
          <w:rtlGutter w:val="0"/>
          <w:docGrid w:type="lines" w:linePitch="312" w:charSpace="0"/>
        </w:sect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4788" w:leftChars="2280" w:firstLine="6400" w:firstLineChars="2000"/>
      <w:jc w:val="right"/>
      <w:rPr>
        <w:rFonts w:hint="eastAsia" w:eastAsia="仿宋"/>
        <w:color w:val="FAFAFA"/>
        <w:sz w:val="32"/>
        <w:szCs w:val="48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7620" b="19685"/>
              <wp:wrapNone/>
              <wp:docPr id="10" name="直接连接符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86el0dQA&#10;AAAGAQAADwAAAAAAAAABACAAAAAiAAAAZHJzL2Rvd25yZXYueG1sUEsBAhQAFAAAAAgAh07iQIpI&#10;yM7qAQAAtwMAAA4AAAAAAAAAAQAgAAAAIwEAAGRycy9lMm9Eb2MueG1sUEsFBgAAAAAGAAYAWQEA&#10;AH8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</w:p>
  <w:p>
    <w:pPr>
      <w:pStyle w:val="6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湖北省</w:t>
    </w:r>
    <w:r>
      <w:rPr>
        <w:rFonts w:hint="eastAsia" w:ascii="宋体" w:hAnsi="宋体" w:cs="宋体"/>
        <w:b/>
        <w:bCs/>
        <w:color w:val="005192"/>
        <w:sz w:val="32"/>
        <w:szCs w:val="32"/>
        <w:lang w:val="en-US" w:eastAsia="zh-CN"/>
      </w:rPr>
      <w:t>经济和信息化厅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发布     </w:t>
    </w:r>
  </w:p>
  <w:p>
    <w:pPr>
      <w:pStyle w:val="6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</w:rPr>
    </w:pP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161925</wp:posOffset>
              </wp:positionH>
              <wp:positionV relativeFrom="paragraph">
                <wp:posOffset>351155</wp:posOffset>
              </wp:positionV>
              <wp:extent cx="5620385" cy="0"/>
              <wp:effectExtent l="0" t="10795" r="3810" b="2159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12.75pt;margin-top:27.65pt;height:0pt;width:442.55pt;z-index:251659264;mso-width-relative:page;mso-height-relative:page;" filled="f" stroked="t" coordsize="21600,21600" o:gfxdata="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VqFgDUAAAABwEA&#10;AA8AAAAAAAAAAQAgAAAAIgAAAGRycy9kb3ducmV2LnhtbFBLAQIUABQAAAAIAIdO4kB9V6Bm5QEA&#10;ALIDAAAOAAAAAAAAAAEAIAAAACMBAABkcnMvZTJvRG9jLnhtbFBLBQYAAAAABgAGAFkBAAB6BQAA&#10;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湖北省</w:t>
    </w:r>
    <w:r>
      <w:rPr>
        <w:rFonts w:hint="eastAsia" w:ascii="宋体" w:hAnsi="宋体" w:cs="宋体"/>
        <w:b/>
        <w:bCs/>
        <w:color w:val="005192"/>
        <w:sz w:val="32"/>
        <w:szCs w:val="32"/>
        <w:lang w:val="en-US" w:eastAsia="zh-CN"/>
      </w:rPr>
      <w:t>经济和信息化厅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mMTMwYmEzM2YzNGEwN2Q5NmEyMDNiYjJkZDk0MWUifQ=="/>
  </w:docVars>
  <w:rsids>
    <w:rsidRoot w:val="00172A27"/>
    <w:rsid w:val="00CB77BE"/>
    <w:rsid w:val="01586F89"/>
    <w:rsid w:val="019E71BD"/>
    <w:rsid w:val="01C0753F"/>
    <w:rsid w:val="01D23F28"/>
    <w:rsid w:val="021927F8"/>
    <w:rsid w:val="02F079B0"/>
    <w:rsid w:val="034C108A"/>
    <w:rsid w:val="04AE7B23"/>
    <w:rsid w:val="04B679C3"/>
    <w:rsid w:val="05290F57"/>
    <w:rsid w:val="06C947A0"/>
    <w:rsid w:val="07EF6488"/>
    <w:rsid w:val="080F63D8"/>
    <w:rsid w:val="085A6FC3"/>
    <w:rsid w:val="09341458"/>
    <w:rsid w:val="09646A02"/>
    <w:rsid w:val="09B352C8"/>
    <w:rsid w:val="09F064E7"/>
    <w:rsid w:val="0A9C36B0"/>
    <w:rsid w:val="0B0912D7"/>
    <w:rsid w:val="0BD47E6F"/>
    <w:rsid w:val="0C963376"/>
    <w:rsid w:val="0CC25F19"/>
    <w:rsid w:val="0CDB6FDB"/>
    <w:rsid w:val="0D103128"/>
    <w:rsid w:val="0D8D4A86"/>
    <w:rsid w:val="0DA90415"/>
    <w:rsid w:val="0F9022FF"/>
    <w:rsid w:val="0FA653C0"/>
    <w:rsid w:val="0FF74A69"/>
    <w:rsid w:val="10D12BCF"/>
    <w:rsid w:val="11A71B81"/>
    <w:rsid w:val="120E39AF"/>
    <w:rsid w:val="14720225"/>
    <w:rsid w:val="14EC412C"/>
    <w:rsid w:val="152D2DCA"/>
    <w:rsid w:val="156B7B78"/>
    <w:rsid w:val="15EF3AF7"/>
    <w:rsid w:val="16250717"/>
    <w:rsid w:val="17BB1EE3"/>
    <w:rsid w:val="18B352B0"/>
    <w:rsid w:val="18E45469"/>
    <w:rsid w:val="19235C4C"/>
    <w:rsid w:val="195E16BF"/>
    <w:rsid w:val="197762DD"/>
    <w:rsid w:val="197A0E35"/>
    <w:rsid w:val="1A002777"/>
    <w:rsid w:val="1A2E0F1B"/>
    <w:rsid w:val="1AEB2ADF"/>
    <w:rsid w:val="1BA97912"/>
    <w:rsid w:val="1BD619E1"/>
    <w:rsid w:val="1C5D7A0C"/>
    <w:rsid w:val="1CD51C99"/>
    <w:rsid w:val="1D597863"/>
    <w:rsid w:val="1D6447C7"/>
    <w:rsid w:val="1DEC284C"/>
    <w:rsid w:val="1E1719F1"/>
    <w:rsid w:val="1E650DFA"/>
    <w:rsid w:val="1E6523AC"/>
    <w:rsid w:val="1E957931"/>
    <w:rsid w:val="1F4F6EE0"/>
    <w:rsid w:val="1F947BE9"/>
    <w:rsid w:val="1FFF60EA"/>
    <w:rsid w:val="20934742"/>
    <w:rsid w:val="20C53DD2"/>
    <w:rsid w:val="213D7E0C"/>
    <w:rsid w:val="22274D44"/>
    <w:rsid w:val="22440422"/>
    <w:rsid w:val="226A69DF"/>
    <w:rsid w:val="227405FC"/>
    <w:rsid w:val="22BA5BB9"/>
    <w:rsid w:val="2369138D"/>
    <w:rsid w:val="24C20D54"/>
    <w:rsid w:val="24DB3BC4"/>
    <w:rsid w:val="259B25D2"/>
    <w:rsid w:val="25F34F3E"/>
    <w:rsid w:val="261849A4"/>
    <w:rsid w:val="267047E0"/>
    <w:rsid w:val="26B80661"/>
    <w:rsid w:val="28EC72AB"/>
    <w:rsid w:val="29120F71"/>
    <w:rsid w:val="29FA4AED"/>
    <w:rsid w:val="2A066448"/>
    <w:rsid w:val="2A077209"/>
    <w:rsid w:val="2C0C6D59"/>
    <w:rsid w:val="2C7A0008"/>
    <w:rsid w:val="2CAA1DCE"/>
    <w:rsid w:val="2D6329A9"/>
    <w:rsid w:val="2D92328E"/>
    <w:rsid w:val="2DE41D3C"/>
    <w:rsid w:val="2E1E1D8D"/>
    <w:rsid w:val="2E9E23F9"/>
    <w:rsid w:val="2EA339A5"/>
    <w:rsid w:val="2EBEDDB6"/>
    <w:rsid w:val="31A15F24"/>
    <w:rsid w:val="32803FFD"/>
    <w:rsid w:val="32957AA8"/>
    <w:rsid w:val="339C4E66"/>
    <w:rsid w:val="35204BD0"/>
    <w:rsid w:val="36BA91AE"/>
    <w:rsid w:val="37FF59C4"/>
    <w:rsid w:val="3805122C"/>
    <w:rsid w:val="38813E6F"/>
    <w:rsid w:val="389600D6"/>
    <w:rsid w:val="38EF30F5"/>
    <w:rsid w:val="392007DF"/>
    <w:rsid w:val="39447B32"/>
    <w:rsid w:val="395347B5"/>
    <w:rsid w:val="396C0E37"/>
    <w:rsid w:val="39763A64"/>
    <w:rsid w:val="39A232A0"/>
    <w:rsid w:val="39E745AA"/>
    <w:rsid w:val="3B3D2A8B"/>
    <w:rsid w:val="3B5A6BBB"/>
    <w:rsid w:val="3C4D4F50"/>
    <w:rsid w:val="3D672041"/>
    <w:rsid w:val="3E6B458B"/>
    <w:rsid w:val="3EB7DE6B"/>
    <w:rsid w:val="3EBD3054"/>
    <w:rsid w:val="3EDA13A6"/>
    <w:rsid w:val="3EF47905"/>
    <w:rsid w:val="3F871CA4"/>
    <w:rsid w:val="3FB84DD6"/>
    <w:rsid w:val="40550877"/>
    <w:rsid w:val="407E73CA"/>
    <w:rsid w:val="40CD48B1"/>
    <w:rsid w:val="40DC2D46"/>
    <w:rsid w:val="40DE086C"/>
    <w:rsid w:val="416D399E"/>
    <w:rsid w:val="41790595"/>
    <w:rsid w:val="425A0B69"/>
    <w:rsid w:val="42F058B7"/>
    <w:rsid w:val="431C1B20"/>
    <w:rsid w:val="436109F6"/>
    <w:rsid w:val="437E00E5"/>
    <w:rsid w:val="441A38D4"/>
    <w:rsid w:val="441B1DD7"/>
    <w:rsid w:val="449A71A0"/>
    <w:rsid w:val="44CD4E80"/>
    <w:rsid w:val="450B5BD2"/>
    <w:rsid w:val="461865CE"/>
    <w:rsid w:val="462F1B6A"/>
    <w:rsid w:val="4654512D"/>
    <w:rsid w:val="466B2BA2"/>
    <w:rsid w:val="46980A9F"/>
    <w:rsid w:val="48A028AB"/>
    <w:rsid w:val="49080B7C"/>
    <w:rsid w:val="49535B70"/>
    <w:rsid w:val="4AFD3FE5"/>
    <w:rsid w:val="4B8D5369"/>
    <w:rsid w:val="4BC77339"/>
    <w:rsid w:val="4C9236C5"/>
    <w:rsid w:val="4CC4300C"/>
    <w:rsid w:val="4CF431C6"/>
    <w:rsid w:val="4D33390E"/>
    <w:rsid w:val="4D453A21"/>
    <w:rsid w:val="4D754306"/>
    <w:rsid w:val="4DC808DA"/>
    <w:rsid w:val="4DCE1C69"/>
    <w:rsid w:val="4F02606E"/>
    <w:rsid w:val="4F583E81"/>
    <w:rsid w:val="501C4F0D"/>
    <w:rsid w:val="505C172E"/>
    <w:rsid w:val="50B67311"/>
    <w:rsid w:val="518E3BE9"/>
    <w:rsid w:val="52D47D21"/>
    <w:rsid w:val="52F201A7"/>
    <w:rsid w:val="52F21F55"/>
    <w:rsid w:val="52F46F0B"/>
    <w:rsid w:val="537C0582"/>
    <w:rsid w:val="53CF0730"/>
    <w:rsid w:val="53D8014D"/>
    <w:rsid w:val="54041B12"/>
    <w:rsid w:val="54696247"/>
    <w:rsid w:val="547A66A6"/>
    <w:rsid w:val="55E064E0"/>
    <w:rsid w:val="565005FD"/>
    <w:rsid w:val="5659654E"/>
    <w:rsid w:val="56981066"/>
    <w:rsid w:val="56A10555"/>
    <w:rsid w:val="56AB2B47"/>
    <w:rsid w:val="56AB6FEB"/>
    <w:rsid w:val="5721105B"/>
    <w:rsid w:val="572C6D10"/>
    <w:rsid w:val="574B7E86"/>
    <w:rsid w:val="58155614"/>
    <w:rsid w:val="58753199"/>
    <w:rsid w:val="588E2720"/>
    <w:rsid w:val="58A40196"/>
    <w:rsid w:val="58DF2F7C"/>
    <w:rsid w:val="5AA20705"/>
    <w:rsid w:val="5AC53B41"/>
    <w:rsid w:val="5AC71F19"/>
    <w:rsid w:val="5B174C4F"/>
    <w:rsid w:val="5D63417B"/>
    <w:rsid w:val="5D9A3915"/>
    <w:rsid w:val="5DC34279"/>
    <w:rsid w:val="5DE34532"/>
    <w:rsid w:val="5DE54B90"/>
    <w:rsid w:val="5E473A9D"/>
    <w:rsid w:val="5E6B043A"/>
    <w:rsid w:val="5FEF1842"/>
    <w:rsid w:val="60795A64"/>
    <w:rsid w:val="608816D1"/>
    <w:rsid w:val="60EF4E7F"/>
    <w:rsid w:val="60F7468F"/>
    <w:rsid w:val="61811E44"/>
    <w:rsid w:val="62127F1E"/>
    <w:rsid w:val="62E96ED1"/>
    <w:rsid w:val="64346872"/>
    <w:rsid w:val="646507D9"/>
    <w:rsid w:val="64A77044"/>
    <w:rsid w:val="64AC3C1A"/>
    <w:rsid w:val="64D67929"/>
    <w:rsid w:val="6531690D"/>
    <w:rsid w:val="6552764A"/>
    <w:rsid w:val="665233C1"/>
    <w:rsid w:val="67DD2D7C"/>
    <w:rsid w:val="6817628E"/>
    <w:rsid w:val="68282249"/>
    <w:rsid w:val="682E35D8"/>
    <w:rsid w:val="691B0000"/>
    <w:rsid w:val="692A1FF1"/>
    <w:rsid w:val="697D0373"/>
    <w:rsid w:val="6AD9688B"/>
    <w:rsid w:val="6AFE3735"/>
    <w:rsid w:val="6B086362"/>
    <w:rsid w:val="6B1116BB"/>
    <w:rsid w:val="6B1F4279"/>
    <w:rsid w:val="6B5243A0"/>
    <w:rsid w:val="6C44161C"/>
    <w:rsid w:val="6CA95923"/>
    <w:rsid w:val="6CF3094C"/>
    <w:rsid w:val="6CF5CDBC"/>
    <w:rsid w:val="6D0E3F22"/>
    <w:rsid w:val="6D42270A"/>
    <w:rsid w:val="6DA74875"/>
    <w:rsid w:val="6DEB7010"/>
    <w:rsid w:val="6E565636"/>
    <w:rsid w:val="6ECD3B4B"/>
    <w:rsid w:val="6FB15B75"/>
    <w:rsid w:val="6FC333AA"/>
    <w:rsid w:val="6FD902CD"/>
    <w:rsid w:val="6FF62C2D"/>
    <w:rsid w:val="70DA6939"/>
    <w:rsid w:val="71597917"/>
    <w:rsid w:val="71C56D5B"/>
    <w:rsid w:val="71EC078C"/>
    <w:rsid w:val="73410663"/>
    <w:rsid w:val="73612AB3"/>
    <w:rsid w:val="738E13CF"/>
    <w:rsid w:val="744D3038"/>
    <w:rsid w:val="74B35591"/>
    <w:rsid w:val="74B73A6A"/>
    <w:rsid w:val="74D3353D"/>
    <w:rsid w:val="75096F5F"/>
    <w:rsid w:val="7630676D"/>
    <w:rsid w:val="76AA05BF"/>
    <w:rsid w:val="78917997"/>
    <w:rsid w:val="789D458E"/>
    <w:rsid w:val="79982FA7"/>
    <w:rsid w:val="7A460C55"/>
    <w:rsid w:val="7A684727"/>
    <w:rsid w:val="7B0610B9"/>
    <w:rsid w:val="7B7314BC"/>
    <w:rsid w:val="7B912D47"/>
    <w:rsid w:val="7BD9715F"/>
    <w:rsid w:val="7BEFCDE9"/>
    <w:rsid w:val="7BF30969"/>
    <w:rsid w:val="7BF7C3FD"/>
    <w:rsid w:val="7C9011D9"/>
    <w:rsid w:val="7D00333D"/>
    <w:rsid w:val="7DC651C5"/>
    <w:rsid w:val="7E217037"/>
    <w:rsid w:val="7E8B0570"/>
    <w:rsid w:val="7EC363D0"/>
    <w:rsid w:val="7F7FE239"/>
    <w:rsid w:val="7FCC2834"/>
    <w:rsid w:val="7FE3730A"/>
    <w:rsid w:val="7FFE1241"/>
    <w:rsid w:val="877F922C"/>
    <w:rsid w:val="BFDFCFE8"/>
    <w:rsid w:val="C79919EA"/>
    <w:rsid w:val="D7FEFC7A"/>
    <w:rsid w:val="DB7DD031"/>
    <w:rsid w:val="EB9DF5D5"/>
    <w:rsid w:val="EBEDA7FF"/>
    <w:rsid w:val="EBEDBA3D"/>
    <w:rsid w:val="EE658F20"/>
    <w:rsid w:val="FD77F9ED"/>
    <w:rsid w:val="FDBFB95C"/>
    <w:rsid w:val="FDFB0A1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table" w:customStyle="1" w:styleId="11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3963</Words>
  <Characters>4075</Characters>
  <Lines>1</Lines>
  <Paragraphs>1</Paragraphs>
  <TotalTime>0</TotalTime>
  <ScaleCrop>false</ScaleCrop>
  <LinksUpToDate>false</LinksUpToDate>
  <CharactersWithSpaces>4076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晚安</cp:lastModifiedBy>
  <cp:lastPrinted>2021-10-28T03:30:00Z</cp:lastPrinted>
  <dcterms:modified xsi:type="dcterms:W3CDTF">2023-11-09T09:44:42Z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4001CC051AC04F13B5E821FCB5227B6D_13</vt:lpwstr>
  </property>
</Properties>
</file>